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AA1" w:rsidRPr="00D75AA1" w:rsidRDefault="00D75AA1" w:rsidP="00D75AA1">
      <w:pPr>
        <w:pBdr>
          <w:bottom w:val="single" w:sz="4" w:space="1" w:color="000000"/>
        </w:pBdr>
        <w:tabs>
          <w:tab w:val="center" w:pos="4536"/>
          <w:tab w:val="right" w:pos="9072"/>
        </w:tabs>
        <w:jc w:val="center"/>
        <w:rPr>
          <w:smallCaps/>
          <w:sz w:val="22"/>
        </w:rPr>
      </w:pPr>
      <w:bookmarkStart w:id="0" w:name="_GoBack"/>
      <w:bookmarkEnd w:id="0"/>
      <w:r w:rsidRPr="00D75AA1">
        <w:rPr>
          <w:smallCaps/>
          <w:sz w:val="22"/>
        </w:rPr>
        <w:t>République Française</w:t>
      </w:r>
    </w:p>
    <w:p w:rsidR="00D75AA1" w:rsidRPr="00D75AA1" w:rsidRDefault="00D75AA1" w:rsidP="00D75AA1"/>
    <w:p w:rsidR="00D75AA1" w:rsidRPr="00D75AA1" w:rsidRDefault="001667E6" w:rsidP="00D75AA1">
      <w:pPr>
        <w:tabs>
          <w:tab w:val="center" w:pos="4536"/>
          <w:tab w:val="right" w:pos="9072"/>
        </w:tabs>
      </w:pPr>
      <w:r w:rsidRPr="00D75AA1">
        <w:rPr>
          <w:noProof/>
          <w:lang w:eastAsia="fr-FR"/>
        </w:rPr>
        <w:drawing>
          <wp:inline distT="0" distB="0" distL="0" distR="0">
            <wp:extent cx="981075" cy="685800"/>
            <wp:effectExtent l="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AA1" w:rsidRPr="00D75AA1" w:rsidRDefault="00D75AA1" w:rsidP="00D75AA1"/>
    <w:p w:rsidR="00D75AA1" w:rsidRPr="00D75AA1" w:rsidRDefault="00D75AA1" w:rsidP="00D75AA1">
      <w:pPr>
        <w:spacing w:after="60"/>
        <w:ind w:firstLine="0"/>
        <w:jc w:val="center"/>
        <w:rPr>
          <w:b/>
          <w:bCs/>
          <w:sz w:val="28"/>
          <w:szCs w:val="32"/>
        </w:rPr>
      </w:pPr>
      <w:r w:rsidRPr="00D75AA1">
        <w:rPr>
          <w:b/>
          <w:bCs/>
          <w:sz w:val="28"/>
          <w:szCs w:val="32"/>
        </w:rPr>
        <w:t>Décision n</w:t>
      </w:r>
      <w:r w:rsidRPr="00D75AA1">
        <w:rPr>
          <w:b/>
          <w:bCs/>
          <w:sz w:val="28"/>
          <w:szCs w:val="32"/>
          <w:vertAlign w:val="superscript"/>
        </w:rPr>
        <w:t>o</w:t>
      </w:r>
      <w:r w:rsidRPr="00D75AA1">
        <w:rPr>
          <w:b/>
          <w:bCs/>
          <w:sz w:val="28"/>
          <w:szCs w:val="32"/>
        </w:rPr>
        <w:t xml:space="preserve"> CODEP-CLG-2016-</w:t>
      </w:r>
      <w:r w:rsidRPr="00D75AA1">
        <w:rPr>
          <w:b/>
          <w:bCs/>
          <w:sz w:val="28"/>
          <w:szCs w:val="32"/>
          <w:highlight w:val="yellow"/>
        </w:rPr>
        <w:t>XXXX</w:t>
      </w:r>
      <w:r w:rsidRPr="00D75AA1">
        <w:rPr>
          <w:b/>
          <w:bCs/>
          <w:sz w:val="28"/>
          <w:szCs w:val="32"/>
        </w:rPr>
        <w:t xml:space="preserve"> du Président de l’Autorité de sûreté nucléaire du </w:t>
      </w:r>
      <w:r w:rsidRPr="00D75AA1">
        <w:rPr>
          <w:b/>
          <w:bCs/>
          <w:sz w:val="28"/>
          <w:szCs w:val="32"/>
          <w:highlight w:val="yellow"/>
        </w:rPr>
        <w:t>XX</w:t>
      </w:r>
      <w:r w:rsidRPr="00D75AA1">
        <w:rPr>
          <w:b/>
          <w:bCs/>
          <w:sz w:val="28"/>
          <w:szCs w:val="32"/>
        </w:rPr>
        <w:t xml:space="preserve"> modifiant la décision n</w:t>
      </w:r>
      <w:r w:rsidRPr="00D75AA1">
        <w:rPr>
          <w:b/>
          <w:bCs/>
          <w:sz w:val="28"/>
          <w:szCs w:val="32"/>
          <w:vertAlign w:val="superscript"/>
        </w:rPr>
        <w:t>o</w:t>
      </w:r>
      <w:r w:rsidRPr="00D75AA1">
        <w:rPr>
          <w:b/>
          <w:bCs/>
          <w:sz w:val="28"/>
          <w:szCs w:val="32"/>
        </w:rPr>
        <w:t xml:space="preserve"> 2014-DC-0466 de l’Autorité de sûreté nucléaire du 30 octobre 2014 relative au deuxième réexamen de sûreté des INB n</w:t>
      </w:r>
      <w:r w:rsidRPr="00D75AA1">
        <w:rPr>
          <w:b/>
          <w:bCs/>
          <w:sz w:val="28"/>
          <w:szCs w:val="32"/>
          <w:vertAlign w:val="superscript"/>
        </w:rPr>
        <w:t>os</w:t>
      </w:r>
      <w:r w:rsidRPr="00D75AA1">
        <w:rPr>
          <w:b/>
          <w:bCs/>
          <w:sz w:val="28"/>
          <w:szCs w:val="32"/>
        </w:rPr>
        <w:t xml:space="preserve"> 42 et 95, dénommées EOLE et MINERVE et exploitées par le Commissariat à l’énergie atomique et aux énergies alternatives dans son centre de Cadarache (Bouches-du-Rhône)</w:t>
      </w:r>
    </w:p>
    <w:p w:rsidR="00D75AA1" w:rsidRPr="00D75AA1" w:rsidRDefault="00D75AA1" w:rsidP="00D75AA1"/>
    <w:p w:rsidR="00D75AA1" w:rsidRPr="00D75AA1" w:rsidRDefault="00D75AA1" w:rsidP="00D75AA1"/>
    <w:p w:rsidR="00D75AA1" w:rsidRPr="00D75AA1" w:rsidRDefault="00D75AA1" w:rsidP="00D75AA1">
      <w:r w:rsidRPr="00D75AA1">
        <w:t>Le Président de l’Autorité de sûreté nucléaire,</w:t>
      </w:r>
    </w:p>
    <w:p w:rsidR="00D75AA1" w:rsidRPr="00D75AA1" w:rsidRDefault="00D75AA1" w:rsidP="00D75AA1"/>
    <w:p w:rsidR="00D75AA1" w:rsidRPr="00D75AA1" w:rsidRDefault="00D75AA1" w:rsidP="00D75AA1">
      <w:r w:rsidRPr="00D75AA1">
        <w:t>Vu le code de l’environnement, notamment ses articles L. 592-2</w:t>
      </w:r>
      <w:r w:rsidR="004065E8">
        <w:t>1</w:t>
      </w:r>
      <w:r w:rsidRPr="00D75AA1">
        <w:t>, L. 593-</w:t>
      </w:r>
      <w:smartTag w:uri="urn:schemas-microsoft-com:office:smarttags" w:element="metricconverter">
        <w:smartTagPr>
          <w:attr w:name="ProductID" w:val="10, L"/>
        </w:smartTagPr>
        <w:r w:rsidRPr="00D75AA1">
          <w:t>10, L</w:t>
        </w:r>
      </w:smartTag>
      <w:r w:rsidRPr="00D75AA1">
        <w:t xml:space="preserve">. 593-18, L. 593-19, L. 593-26 </w:t>
      </w:r>
      <w:r w:rsidR="004065E8">
        <w:t xml:space="preserve">et </w:t>
      </w:r>
      <w:r w:rsidRPr="00D75AA1">
        <w:t>L. 593-27 ;</w:t>
      </w:r>
    </w:p>
    <w:p w:rsidR="00D75AA1" w:rsidRPr="00D75AA1" w:rsidRDefault="00D75AA1" w:rsidP="00D75AA1"/>
    <w:p w:rsidR="00D75AA1" w:rsidRPr="00D75AA1" w:rsidRDefault="00D75AA1" w:rsidP="00D75AA1">
      <w:pPr>
        <w:autoSpaceDE w:val="0"/>
        <w:rPr>
          <w:szCs w:val="24"/>
        </w:rPr>
      </w:pPr>
      <w:r w:rsidRPr="00D75AA1">
        <w:rPr>
          <w:szCs w:val="24"/>
        </w:rPr>
        <w:t>Vu le décret du 23 juin 1965 autorisant la création par le commissariat à l’énergie atomique (CEA) d’un réacteur nucléaire au centre d’études nucléaires de Cadarache dénommé EOLE ;</w:t>
      </w:r>
    </w:p>
    <w:p w:rsidR="00D75AA1" w:rsidRPr="00D75AA1" w:rsidRDefault="00D75AA1" w:rsidP="00D75AA1">
      <w:pPr>
        <w:autoSpaceDE w:val="0"/>
        <w:rPr>
          <w:szCs w:val="24"/>
        </w:rPr>
      </w:pPr>
    </w:p>
    <w:p w:rsidR="00D75AA1" w:rsidRPr="00D75AA1" w:rsidRDefault="00D75AA1" w:rsidP="00D75AA1">
      <w:pPr>
        <w:autoSpaceDE w:val="0"/>
        <w:rPr>
          <w:szCs w:val="24"/>
        </w:rPr>
      </w:pPr>
      <w:r w:rsidRPr="00D75AA1">
        <w:rPr>
          <w:szCs w:val="24"/>
        </w:rPr>
        <w:t>Vu le décret n</w:t>
      </w:r>
      <w:r w:rsidRPr="00D75AA1">
        <w:rPr>
          <w:szCs w:val="24"/>
          <w:vertAlign w:val="superscript"/>
        </w:rPr>
        <w:t>o</w:t>
      </w:r>
      <w:r w:rsidRPr="00D75AA1">
        <w:rPr>
          <w:szCs w:val="24"/>
        </w:rPr>
        <w:t xml:space="preserve"> 77-1072 du 21 septembre 1977 autorisant le transfert du réacteur MINERVE, exploité par le commissariat à l’énergie atomique, du centre d’études nucléaires de Fontenay-aux-Roses (Hauts-de-Seine) au centre d’études nucléaires de Cadarache (Bouches-du-Rhône) ;</w:t>
      </w:r>
    </w:p>
    <w:p w:rsidR="00D75AA1" w:rsidRPr="00D75AA1" w:rsidRDefault="00D75AA1" w:rsidP="00D75AA1">
      <w:pPr>
        <w:autoSpaceDE w:val="0"/>
        <w:rPr>
          <w:szCs w:val="24"/>
        </w:rPr>
      </w:pPr>
    </w:p>
    <w:p w:rsidR="00D75AA1" w:rsidRPr="00D75AA1" w:rsidRDefault="00D75AA1" w:rsidP="00D75AA1">
      <w:pPr>
        <w:rPr>
          <w:szCs w:val="24"/>
        </w:rPr>
      </w:pPr>
      <w:r w:rsidRPr="00D75AA1">
        <w:rPr>
          <w:szCs w:val="24"/>
        </w:rPr>
        <w:t>Vu le décret n</w:t>
      </w:r>
      <w:r w:rsidRPr="00D75AA1">
        <w:rPr>
          <w:szCs w:val="24"/>
          <w:vertAlign w:val="superscript"/>
        </w:rPr>
        <w:t>o</w:t>
      </w:r>
      <w:r w:rsidRPr="00D75AA1">
        <w:rPr>
          <w:szCs w:val="24"/>
        </w:rPr>
        <w:t xml:space="preserve"> 2007-1557 du 2 novembre 2007 modifié relatif aux installations nucléaires de base et au contrôle, en matière de sûreté nucléaire, du transport de substances radioactives, notamment ses articles 18 et 24 ; </w:t>
      </w:r>
    </w:p>
    <w:p w:rsidR="00D75AA1" w:rsidRPr="00D75AA1" w:rsidRDefault="00D75AA1" w:rsidP="00D75AA1">
      <w:pPr>
        <w:ind w:firstLine="0"/>
        <w:rPr>
          <w:szCs w:val="24"/>
        </w:rPr>
      </w:pPr>
    </w:p>
    <w:p w:rsidR="00D75AA1" w:rsidRPr="00D75AA1" w:rsidRDefault="00D75AA1" w:rsidP="00D75AA1">
      <w:pPr>
        <w:rPr>
          <w:szCs w:val="24"/>
        </w:rPr>
      </w:pPr>
      <w:r w:rsidRPr="00D75AA1">
        <w:rPr>
          <w:szCs w:val="24"/>
        </w:rPr>
        <w:t>Vu l’arrêté du 7 février 2012 modifié fixant les règles générales relatives aux installations nucléaires de base et, notamment son article 1.2 ;</w:t>
      </w:r>
    </w:p>
    <w:p w:rsidR="00D75AA1" w:rsidRPr="00D75AA1" w:rsidRDefault="00D75AA1" w:rsidP="00D75AA1">
      <w:pPr>
        <w:rPr>
          <w:szCs w:val="24"/>
        </w:rPr>
      </w:pPr>
    </w:p>
    <w:p w:rsidR="00D75AA1" w:rsidRPr="00D75AA1" w:rsidRDefault="00D75AA1" w:rsidP="00D75AA1">
      <w:pPr>
        <w:rPr>
          <w:bCs/>
          <w:szCs w:val="24"/>
        </w:rPr>
      </w:pPr>
      <w:r w:rsidRPr="00D75AA1">
        <w:rPr>
          <w:bCs/>
          <w:szCs w:val="24"/>
        </w:rPr>
        <w:t>Vu la décision n</w:t>
      </w:r>
      <w:r w:rsidRPr="00D75AA1">
        <w:rPr>
          <w:bCs/>
          <w:szCs w:val="24"/>
          <w:vertAlign w:val="superscript"/>
        </w:rPr>
        <w:t xml:space="preserve">o </w:t>
      </w:r>
      <w:r w:rsidRPr="00D75AA1">
        <w:rPr>
          <w:bCs/>
          <w:szCs w:val="24"/>
        </w:rPr>
        <w:t>2013-DC-0382 de l’Autorité de sûreté nucléaire du 21 novembre 2013 prescrivant au Commissariat à l’énergie atomique et aux énergies alternatives (CEA) de procéder à une évaluation complémentaire de la sûreté de certaines de ses installations nucléaires de base au regard de l’accident survenu à la centrale nucléaire de Fukushima Daiichi ;</w:t>
      </w:r>
    </w:p>
    <w:p w:rsidR="00D75AA1" w:rsidRPr="00D75AA1" w:rsidRDefault="00D75AA1" w:rsidP="00D75AA1">
      <w:pPr>
        <w:rPr>
          <w:szCs w:val="24"/>
        </w:rPr>
      </w:pPr>
    </w:p>
    <w:p w:rsidR="00D75AA1" w:rsidRPr="00D75AA1" w:rsidRDefault="00D75AA1" w:rsidP="00D75AA1">
      <w:pPr>
        <w:rPr>
          <w:bCs/>
          <w:szCs w:val="24"/>
        </w:rPr>
      </w:pPr>
      <w:r w:rsidRPr="00D75AA1">
        <w:rPr>
          <w:bCs/>
          <w:szCs w:val="24"/>
        </w:rPr>
        <w:t>Vu la décision n</w:t>
      </w:r>
      <w:r w:rsidRPr="00D75AA1">
        <w:rPr>
          <w:bCs/>
          <w:szCs w:val="24"/>
          <w:vertAlign w:val="superscript"/>
        </w:rPr>
        <w:t>o</w:t>
      </w:r>
      <w:r w:rsidRPr="00D75AA1">
        <w:rPr>
          <w:bCs/>
          <w:szCs w:val="24"/>
        </w:rPr>
        <w:t xml:space="preserve"> 2014-DC-0466 de l’Autorité de sûreté nucléaire du 30 octobre 2014 relative au deuxième réexamen de sûreté des INB n</w:t>
      </w:r>
      <w:r w:rsidRPr="00D75AA1">
        <w:rPr>
          <w:bCs/>
          <w:szCs w:val="24"/>
          <w:vertAlign w:val="superscript"/>
        </w:rPr>
        <w:t>os</w:t>
      </w:r>
      <w:r w:rsidRPr="00D75AA1">
        <w:rPr>
          <w:bCs/>
          <w:szCs w:val="24"/>
        </w:rPr>
        <w:t xml:space="preserve"> 42 et 95, dénommées EOLE et MINERVE et exploitées par le Commissariat à l’énergie atomique et aux énergies alternatives dans son centre de Cadarache (Bouches-du-Rhône) ;</w:t>
      </w:r>
    </w:p>
    <w:p w:rsidR="00D75AA1" w:rsidRPr="00D75AA1" w:rsidRDefault="00D75AA1" w:rsidP="00D75AA1">
      <w:pPr>
        <w:rPr>
          <w:szCs w:val="24"/>
        </w:rPr>
      </w:pPr>
    </w:p>
    <w:p w:rsidR="00D75AA1" w:rsidRPr="00D75AA1" w:rsidRDefault="00D75AA1" w:rsidP="00D75AA1">
      <w:pPr>
        <w:rPr>
          <w:szCs w:val="24"/>
        </w:rPr>
      </w:pPr>
      <w:r w:rsidRPr="00D75AA1">
        <w:rPr>
          <w:szCs w:val="24"/>
        </w:rPr>
        <w:t xml:space="preserve">Vu </w:t>
      </w:r>
      <w:smartTag w:uri="urn:schemas-microsoft-com:office:smarttags" w:element="PersonName">
        <w:smartTagPr>
          <w:attr w:name="ProductID" w:val="la lettre CEA"/>
        </w:smartTagPr>
        <w:r w:rsidRPr="00D75AA1">
          <w:rPr>
            <w:szCs w:val="24"/>
          </w:rPr>
          <w:t>la lettre CEA</w:t>
        </w:r>
      </w:smartTag>
      <w:r w:rsidRPr="00D75AA1">
        <w:rPr>
          <w:szCs w:val="24"/>
        </w:rPr>
        <w:t>/DEN/CAD/DIR/CSN DO 206 du 17 mars 2014 relative aux opérations de désentreposage des combustibles envisagées par l’exploitant et à la diminution associée de l’impact radiologique ;</w:t>
      </w:r>
    </w:p>
    <w:p w:rsidR="00D75AA1" w:rsidRPr="00D75AA1" w:rsidRDefault="00D75AA1" w:rsidP="00D75AA1">
      <w:pPr>
        <w:rPr>
          <w:szCs w:val="24"/>
        </w:rPr>
      </w:pPr>
    </w:p>
    <w:p w:rsidR="00D75AA1" w:rsidRPr="00D75AA1" w:rsidRDefault="00D75AA1" w:rsidP="00D75AA1">
      <w:pPr>
        <w:rPr>
          <w:szCs w:val="24"/>
        </w:rPr>
      </w:pPr>
      <w:r w:rsidRPr="00D75AA1">
        <w:rPr>
          <w:szCs w:val="24"/>
        </w:rPr>
        <w:t xml:space="preserve">Vu la </w:t>
      </w:r>
      <w:r w:rsidR="00651ACC">
        <w:rPr>
          <w:szCs w:val="24"/>
        </w:rPr>
        <w:t xml:space="preserve">déclaration d’arrêt définitif </w:t>
      </w:r>
      <w:r w:rsidR="00651ACC" w:rsidRPr="00651ACC">
        <w:rPr>
          <w:szCs w:val="24"/>
        </w:rPr>
        <w:t xml:space="preserve">des INB </w:t>
      </w:r>
      <w:r w:rsidR="00651ACC" w:rsidRPr="00651ACC">
        <w:rPr>
          <w:bCs/>
          <w:szCs w:val="24"/>
        </w:rPr>
        <w:t>n</w:t>
      </w:r>
      <w:r w:rsidR="00651ACC" w:rsidRPr="00651ACC">
        <w:rPr>
          <w:bCs/>
          <w:szCs w:val="24"/>
          <w:vertAlign w:val="superscript"/>
        </w:rPr>
        <w:t>os</w:t>
      </w:r>
      <w:r w:rsidR="00651ACC" w:rsidRPr="00651ACC">
        <w:rPr>
          <w:bCs/>
          <w:szCs w:val="24"/>
        </w:rPr>
        <w:t xml:space="preserve"> 42 et 95 au 31 décembre 2017 </w:t>
      </w:r>
      <w:r w:rsidR="00651ACC">
        <w:rPr>
          <w:szCs w:val="24"/>
        </w:rPr>
        <w:t>effectuée</w:t>
      </w:r>
      <w:r w:rsidR="004065E8">
        <w:rPr>
          <w:bCs/>
          <w:szCs w:val="24"/>
        </w:rPr>
        <w:t xml:space="preserve"> </w:t>
      </w:r>
      <w:r w:rsidR="00651ACC">
        <w:rPr>
          <w:bCs/>
          <w:szCs w:val="24"/>
        </w:rPr>
        <w:t xml:space="preserve">par lettre CEA </w:t>
      </w:r>
      <w:r w:rsidR="00651ACC" w:rsidRPr="00651ACC">
        <w:rPr>
          <w:bCs/>
          <w:szCs w:val="24"/>
        </w:rPr>
        <w:t>DPSN/DIR/2016-361</w:t>
      </w:r>
      <w:r w:rsidR="00651ACC">
        <w:rPr>
          <w:bCs/>
          <w:szCs w:val="24"/>
        </w:rPr>
        <w:t xml:space="preserve"> reçue </w:t>
      </w:r>
      <w:r w:rsidR="004065E8">
        <w:rPr>
          <w:bCs/>
          <w:szCs w:val="24"/>
        </w:rPr>
        <w:t>le 28 juillet 2016</w:t>
      </w:r>
      <w:r w:rsidR="00651ACC">
        <w:rPr>
          <w:bCs/>
          <w:szCs w:val="24"/>
        </w:rPr>
        <w:t xml:space="preserve"> par le ministre chargé de la sûreté nucléaire ;</w:t>
      </w:r>
    </w:p>
    <w:p w:rsidR="00D75AA1" w:rsidRPr="00D75AA1" w:rsidRDefault="00D75AA1" w:rsidP="00D75AA1">
      <w:pPr>
        <w:rPr>
          <w:szCs w:val="24"/>
        </w:rPr>
      </w:pPr>
    </w:p>
    <w:p w:rsidR="00D75AA1" w:rsidRDefault="00D75AA1" w:rsidP="00D75AA1">
      <w:pPr>
        <w:rPr>
          <w:szCs w:val="24"/>
        </w:rPr>
      </w:pPr>
      <w:r w:rsidRPr="00D75AA1">
        <w:t>Vu l</w:t>
      </w:r>
      <w:r w:rsidR="00C46012">
        <w:t>es</w:t>
      </w:r>
      <w:r w:rsidRPr="00D75AA1">
        <w:t xml:space="preserve"> lettre</w:t>
      </w:r>
      <w:r w:rsidR="00C46012">
        <w:t>s</w:t>
      </w:r>
      <w:r w:rsidRPr="00D75AA1">
        <w:t xml:space="preserve"> CEA/</w:t>
      </w:r>
      <w:r w:rsidRPr="00D75AA1">
        <w:rPr>
          <w:bCs/>
        </w:rPr>
        <w:t>DEN/CAD/DIR/CSN DO 523 du 1</w:t>
      </w:r>
      <w:r w:rsidRPr="00D75AA1">
        <w:rPr>
          <w:bCs/>
          <w:vertAlign w:val="superscript"/>
        </w:rPr>
        <w:t>er</w:t>
      </w:r>
      <w:r w:rsidRPr="00D75AA1">
        <w:rPr>
          <w:bCs/>
        </w:rPr>
        <w:t xml:space="preserve"> septembre 2016 </w:t>
      </w:r>
      <w:r w:rsidR="00C46012">
        <w:rPr>
          <w:bCs/>
        </w:rPr>
        <w:t xml:space="preserve">et </w:t>
      </w:r>
      <w:r w:rsidR="00C46012" w:rsidRPr="00C46012">
        <w:rPr>
          <w:bCs/>
        </w:rPr>
        <w:t xml:space="preserve">CEA/DEN/CAD/DIR/CSN DO 626 du 24 octobre 2016 </w:t>
      </w:r>
      <w:r w:rsidRPr="00D75AA1">
        <w:t>relati</w:t>
      </w:r>
      <w:r w:rsidR="00C46012">
        <w:t>ves</w:t>
      </w:r>
      <w:r w:rsidRPr="00D75AA1">
        <w:t xml:space="preserve"> à la transmission du dossier article 26 sans modification de matériels demandant ajustement des prescriptions techniques à caractère général de la décision ASN du </w:t>
      </w:r>
      <w:r w:rsidRPr="00D75AA1">
        <w:rPr>
          <w:szCs w:val="24"/>
        </w:rPr>
        <w:t xml:space="preserve">30 octobre 2014 susnommée ; </w:t>
      </w:r>
    </w:p>
    <w:p w:rsidR="00C46012" w:rsidRDefault="00C46012" w:rsidP="00D75AA1">
      <w:pPr>
        <w:rPr>
          <w:szCs w:val="24"/>
        </w:rPr>
      </w:pPr>
    </w:p>
    <w:p w:rsidR="00D75AA1" w:rsidRPr="00D75AA1" w:rsidRDefault="00D75AA1" w:rsidP="00D75AA1">
      <w:pPr>
        <w:rPr>
          <w:szCs w:val="24"/>
        </w:rPr>
      </w:pPr>
      <w:r w:rsidRPr="00D75AA1">
        <w:rPr>
          <w:szCs w:val="24"/>
        </w:rPr>
        <w:t xml:space="preserve">Vu les résultats de la consultation du public </w:t>
      </w:r>
      <w:r w:rsidRPr="00D75AA1">
        <w:rPr>
          <w:bCs/>
          <w:szCs w:val="24"/>
        </w:rPr>
        <w:t>du XX au XX ;</w:t>
      </w:r>
    </w:p>
    <w:p w:rsidR="00D75AA1" w:rsidRPr="00D75AA1" w:rsidRDefault="00D75AA1" w:rsidP="00D75AA1">
      <w:pPr>
        <w:rPr>
          <w:szCs w:val="24"/>
        </w:rPr>
      </w:pPr>
    </w:p>
    <w:p w:rsidR="00D75AA1" w:rsidRPr="00D75AA1" w:rsidRDefault="00D75AA1" w:rsidP="00D75AA1">
      <w:pPr>
        <w:rPr>
          <w:szCs w:val="24"/>
        </w:rPr>
      </w:pPr>
      <w:r w:rsidRPr="00D75AA1">
        <w:rPr>
          <w:szCs w:val="24"/>
        </w:rPr>
        <w:t>Vu les observations du CEA sur le projet de décision transmises par courrier XX ;</w:t>
      </w:r>
    </w:p>
    <w:p w:rsidR="00D75AA1" w:rsidRPr="00D75AA1" w:rsidRDefault="00D75AA1" w:rsidP="00D75AA1">
      <w:pPr>
        <w:rPr>
          <w:szCs w:val="24"/>
        </w:rPr>
      </w:pPr>
    </w:p>
    <w:p w:rsidR="00D75AA1" w:rsidRPr="00D75AA1" w:rsidRDefault="00D75AA1" w:rsidP="00D75AA1">
      <w:r w:rsidRPr="00D75AA1">
        <w:t>Considérant qu’il convient de limiter l’inventaire en matières fissiles au strict nécessaire ;</w:t>
      </w:r>
    </w:p>
    <w:p w:rsidR="00D75AA1" w:rsidRPr="00D75AA1" w:rsidRDefault="00D75AA1" w:rsidP="00D75AA1"/>
    <w:p w:rsidR="00D75AA1" w:rsidRPr="00D75AA1" w:rsidRDefault="00D75AA1" w:rsidP="00D75AA1">
      <w:r w:rsidRPr="00D75AA1">
        <w:t xml:space="preserve">Considérant que </w:t>
      </w:r>
      <w:r w:rsidR="001E6B20">
        <w:t xml:space="preserve">le CEA </w:t>
      </w:r>
      <w:r w:rsidR="001E6B20" w:rsidRPr="00D75AA1">
        <w:t xml:space="preserve">a </w:t>
      </w:r>
      <w:r w:rsidR="001E6B20">
        <w:t>renoncé à renforcer les</w:t>
      </w:r>
      <w:r w:rsidRPr="00D75AA1">
        <w:t xml:space="preserve"> INB n</w:t>
      </w:r>
      <w:r w:rsidRPr="00D75AA1">
        <w:rPr>
          <w:vertAlign w:val="superscript"/>
        </w:rPr>
        <w:t>os</w:t>
      </w:r>
      <w:r w:rsidRPr="00D75AA1">
        <w:t xml:space="preserve"> 42 et 95 (EOLE et MINERVE) à l’égard du risque sismique</w:t>
      </w:r>
      <w:r w:rsidR="001E6B20">
        <w:t xml:space="preserve"> et</w:t>
      </w:r>
      <w:r w:rsidRPr="00D75AA1">
        <w:t xml:space="preserve"> </w:t>
      </w:r>
      <w:r w:rsidR="001E6B20">
        <w:t>qu’il a décidé de ces</w:t>
      </w:r>
      <w:r w:rsidRPr="00D75AA1">
        <w:t xml:space="preserve">ser </w:t>
      </w:r>
      <w:r>
        <w:t xml:space="preserve">définitivement </w:t>
      </w:r>
      <w:r w:rsidRPr="00D75AA1">
        <w:t>l</w:t>
      </w:r>
      <w:r>
        <w:t>eurs</w:t>
      </w:r>
      <w:r w:rsidRPr="00D75AA1">
        <w:t xml:space="preserve"> activités au </w:t>
      </w:r>
      <w:r w:rsidR="00640D4C">
        <w:t xml:space="preserve">plus tard le </w:t>
      </w:r>
      <w:r w:rsidRPr="00D75AA1">
        <w:t>31</w:t>
      </w:r>
      <w:r w:rsidR="001E6B20">
        <w:t> </w:t>
      </w:r>
      <w:r w:rsidRPr="00D75AA1">
        <w:t>décembre 2017 ;</w:t>
      </w:r>
    </w:p>
    <w:p w:rsidR="00D75AA1" w:rsidRPr="00D75AA1" w:rsidRDefault="00D75AA1" w:rsidP="00D75AA1"/>
    <w:p w:rsidR="00D75AA1" w:rsidRDefault="00D75AA1" w:rsidP="00D75AA1">
      <w:r w:rsidRPr="00D75AA1">
        <w:t xml:space="preserve">Considérant que le CEA a déclaré </w:t>
      </w:r>
      <w:r w:rsidR="00B1740E" w:rsidRPr="00B1740E">
        <w:t xml:space="preserve">le 28 juillet 2016 </w:t>
      </w:r>
      <w:r w:rsidRPr="00D75AA1">
        <w:t>auprès du ministre chargé de la sûreté nucléaire, conformément à l’article L. 593-26 du code de l’environnement, son intention d’arrêter définitivement, au 31 décembre 2017, les INB n</w:t>
      </w:r>
      <w:r w:rsidRPr="00D75AA1">
        <w:rPr>
          <w:vertAlign w:val="superscript"/>
        </w:rPr>
        <w:t>os</w:t>
      </w:r>
      <w:r w:rsidRPr="00D75AA1">
        <w:t xml:space="preserve"> 42 et 95 ;</w:t>
      </w:r>
    </w:p>
    <w:p w:rsidR="00C46012" w:rsidRDefault="00C46012" w:rsidP="00D75AA1"/>
    <w:p w:rsidR="00C46012" w:rsidRPr="00D75AA1" w:rsidRDefault="00C46012" w:rsidP="00D75AA1">
      <w:r>
        <w:t>Considérant que le CEA souhaite</w:t>
      </w:r>
      <w:r w:rsidR="005D7974">
        <w:t>,</w:t>
      </w:r>
      <w:r>
        <w:t xml:space="preserve"> </w:t>
      </w:r>
      <w:r w:rsidR="005D7974" w:rsidRPr="005D7974">
        <w:t>afin de terminer le programme expérimenta</w:t>
      </w:r>
      <w:r w:rsidR="006926FF">
        <w:t>l en cours</w:t>
      </w:r>
      <w:r w:rsidR="005D7974">
        <w:t>,</w:t>
      </w:r>
      <w:r w:rsidR="005D7974" w:rsidRPr="005D7974">
        <w:t xml:space="preserve"> </w:t>
      </w:r>
      <w:r>
        <w:t xml:space="preserve">introduire </w:t>
      </w:r>
      <w:r w:rsidR="00253133">
        <w:t xml:space="preserve">début 2017 </w:t>
      </w:r>
      <w:r>
        <w:t xml:space="preserve">des crayons </w:t>
      </w:r>
      <w:r w:rsidR="0041405E">
        <w:t xml:space="preserve">« Epicure » </w:t>
      </w:r>
      <w:r w:rsidR="008F168A">
        <w:t xml:space="preserve">dont la nature et la quantité présentent </w:t>
      </w:r>
      <w:r w:rsidR="006926FF">
        <w:t xml:space="preserve">des conséquences </w:t>
      </w:r>
      <w:r w:rsidR="005D7974">
        <w:t>radiologique</w:t>
      </w:r>
      <w:r w:rsidR="006926FF">
        <w:t>s</w:t>
      </w:r>
      <w:r w:rsidR="0041405E">
        <w:t xml:space="preserve"> </w:t>
      </w:r>
      <w:r w:rsidR="006926FF">
        <w:t xml:space="preserve">limitées </w:t>
      </w:r>
      <w:r w:rsidR="0041405E">
        <w:t>en cas de séisme</w:t>
      </w:r>
      <w:r w:rsidR="00F169D4">
        <w:t> ;</w:t>
      </w:r>
    </w:p>
    <w:p w:rsidR="00D75AA1" w:rsidRPr="00D75AA1" w:rsidRDefault="00D75AA1" w:rsidP="00D75AA1"/>
    <w:p w:rsidR="00D75AA1" w:rsidRPr="00D75AA1" w:rsidRDefault="00D75AA1" w:rsidP="00D75AA1">
      <w:r w:rsidRPr="00D75AA1">
        <w:t xml:space="preserve">Considérant qu’il convient </w:t>
      </w:r>
      <w:r w:rsidR="00A90CCA">
        <w:t xml:space="preserve">donc </w:t>
      </w:r>
      <w:r w:rsidRPr="00D75AA1">
        <w:t>de modifier la décision du 30 octobre 2014 susvisée,</w:t>
      </w:r>
    </w:p>
    <w:p w:rsidR="00D75AA1" w:rsidRPr="00D75AA1" w:rsidRDefault="00D75AA1" w:rsidP="00D75AA1"/>
    <w:p w:rsidR="00D75AA1" w:rsidRPr="00D75AA1" w:rsidRDefault="00D75AA1" w:rsidP="00D75AA1"/>
    <w:p w:rsidR="00D75AA1" w:rsidRPr="00D75AA1" w:rsidRDefault="00D75AA1" w:rsidP="00D75AA1">
      <w:pPr>
        <w:ind w:firstLine="0"/>
        <w:jc w:val="center"/>
        <w:rPr>
          <w:b/>
        </w:rPr>
      </w:pPr>
      <w:r w:rsidRPr="00D75AA1">
        <w:rPr>
          <w:b/>
        </w:rPr>
        <w:t>Décide :</w:t>
      </w:r>
    </w:p>
    <w:p w:rsidR="00D75AA1" w:rsidRPr="00D75AA1" w:rsidRDefault="00D75AA1" w:rsidP="00D75AA1">
      <w:pPr>
        <w:keepNext/>
        <w:spacing w:before="180" w:after="60"/>
        <w:ind w:firstLine="0"/>
        <w:jc w:val="center"/>
        <w:outlineLvl w:val="2"/>
        <w:rPr>
          <w:b/>
          <w:u w:val="single"/>
        </w:rPr>
      </w:pPr>
      <w:r w:rsidRPr="00D75AA1">
        <w:rPr>
          <w:b/>
          <w:u w:val="single"/>
        </w:rPr>
        <w:t>Article 1</w:t>
      </w:r>
      <w:r w:rsidRPr="00D75AA1">
        <w:rPr>
          <w:b/>
          <w:u w:val="single"/>
          <w:vertAlign w:val="superscript"/>
        </w:rPr>
        <w:t>er</w:t>
      </w:r>
    </w:p>
    <w:p w:rsidR="00D75AA1" w:rsidRPr="00D75AA1" w:rsidRDefault="00D75AA1" w:rsidP="00D75AA1">
      <w:pPr>
        <w:tabs>
          <w:tab w:val="left" w:pos="709"/>
          <w:tab w:val="left" w:pos="1440"/>
          <w:tab w:val="left" w:pos="3420"/>
        </w:tabs>
        <w:ind w:firstLine="0"/>
      </w:pPr>
    </w:p>
    <w:p w:rsidR="00D75AA1" w:rsidRPr="00D75AA1" w:rsidRDefault="002F7C96" w:rsidP="00D75AA1">
      <w:r>
        <w:t>L’</w:t>
      </w:r>
      <w:r w:rsidR="00D75AA1" w:rsidRPr="00D75AA1">
        <w:t xml:space="preserve">annexe à la décision du 30 octobre 2014 susvisée </w:t>
      </w:r>
      <w:r>
        <w:t xml:space="preserve">est </w:t>
      </w:r>
      <w:r w:rsidR="00D75AA1" w:rsidRPr="00D75AA1">
        <w:t xml:space="preserve">remplacée par </w:t>
      </w:r>
      <w:r>
        <w:t>l’</w:t>
      </w:r>
      <w:r w:rsidR="00D75AA1" w:rsidRPr="00D75AA1">
        <w:t>annexe à la présente décision.</w:t>
      </w:r>
    </w:p>
    <w:p w:rsidR="00D75AA1" w:rsidRPr="00D75AA1" w:rsidRDefault="00D75AA1" w:rsidP="00D75AA1">
      <w:pPr>
        <w:keepNext/>
        <w:spacing w:before="180" w:after="60"/>
        <w:ind w:firstLine="0"/>
        <w:jc w:val="center"/>
        <w:outlineLvl w:val="2"/>
        <w:rPr>
          <w:b/>
          <w:u w:val="single"/>
        </w:rPr>
      </w:pPr>
      <w:r w:rsidRPr="00D75AA1">
        <w:rPr>
          <w:b/>
          <w:u w:val="single"/>
        </w:rPr>
        <w:t>Article 2</w:t>
      </w:r>
    </w:p>
    <w:p w:rsidR="00D75AA1" w:rsidRPr="00D75AA1" w:rsidRDefault="00D75AA1" w:rsidP="00D75AA1">
      <w:pPr>
        <w:autoSpaceDE w:val="0"/>
        <w:ind w:firstLine="0"/>
      </w:pPr>
    </w:p>
    <w:p w:rsidR="00D75AA1" w:rsidRPr="00D75AA1" w:rsidRDefault="00D75AA1" w:rsidP="00D75AA1">
      <w:pPr>
        <w:keepLines w:val="0"/>
        <w:ind w:firstLine="0"/>
        <w:rPr>
          <w:szCs w:val="24"/>
        </w:rPr>
      </w:pPr>
      <w:r w:rsidRPr="00D75AA1">
        <w:rPr>
          <w:szCs w:val="24"/>
        </w:rPr>
        <w:t>La présente décision peut être déférée devant le Conseil d’État :</w:t>
      </w:r>
    </w:p>
    <w:p w:rsidR="00D75AA1" w:rsidRPr="00D75AA1" w:rsidRDefault="00D75AA1" w:rsidP="00D75AA1">
      <w:pPr>
        <w:keepLines w:val="0"/>
        <w:numPr>
          <w:ilvl w:val="0"/>
          <w:numId w:val="9"/>
        </w:numPr>
        <w:suppressAutoHyphens w:val="0"/>
        <w:jc w:val="left"/>
        <w:rPr>
          <w:szCs w:val="24"/>
        </w:rPr>
      </w:pPr>
      <w:r w:rsidRPr="00D75AA1">
        <w:rPr>
          <w:szCs w:val="24"/>
        </w:rPr>
        <w:t>par l’exploitant, dans un délai de deux mois à compter de sa date de notification,</w:t>
      </w:r>
    </w:p>
    <w:p w:rsidR="00D75AA1" w:rsidRPr="00D75AA1" w:rsidRDefault="00D75AA1" w:rsidP="00D75AA1">
      <w:pPr>
        <w:keepLines w:val="0"/>
        <w:numPr>
          <w:ilvl w:val="0"/>
          <w:numId w:val="9"/>
        </w:numPr>
        <w:suppressAutoHyphens w:val="0"/>
        <w:jc w:val="left"/>
        <w:rPr>
          <w:szCs w:val="24"/>
        </w:rPr>
      </w:pPr>
      <w:r w:rsidRPr="00D75AA1">
        <w:rPr>
          <w:szCs w:val="24"/>
        </w:rPr>
        <w:t>par les tiers, dans un délai de quatre ans à compter de sa publication.</w:t>
      </w:r>
    </w:p>
    <w:p w:rsidR="00D75AA1" w:rsidRPr="00D75AA1" w:rsidRDefault="00D75AA1" w:rsidP="00D75AA1">
      <w:pPr>
        <w:keepNext/>
        <w:spacing w:before="180" w:after="60"/>
        <w:ind w:firstLine="0"/>
        <w:jc w:val="center"/>
        <w:outlineLvl w:val="2"/>
        <w:rPr>
          <w:b/>
          <w:u w:val="single"/>
        </w:rPr>
      </w:pPr>
      <w:r w:rsidRPr="00D75AA1">
        <w:rPr>
          <w:b/>
          <w:u w:val="single"/>
        </w:rPr>
        <w:t>Article 3</w:t>
      </w:r>
    </w:p>
    <w:p w:rsidR="00D75AA1" w:rsidRPr="00D75AA1" w:rsidRDefault="00D75AA1" w:rsidP="00D75AA1"/>
    <w:p w:rsidR="00D75AA1" w:rsidRPr="00D75AA1" w:rsidRDefault="00D75AA1" w:rsidP="00D75AA1">
      <w:r w:rsidRPr="00D75AA1">
        <w:t xml:space="preserve">Le directeur général de l’Autorité de sûreté nucléaire est chargé de l’exécution de la présente décision qui sera notifiée au Commissariat à l’énergie atomique et aux énergies alternatives et publiée au </w:t>
      </w:r>
      <w:r w:rsidRPr="00D75AA1">
        <w:rPr>
          <w:i/>
        </w:rPr>
        <w:t>Bulletin officiel</w:t>
      </w:r>
      <w:r w:rsidRPr="00D75AA1">
        <w:t xml:space="preserve"> de l’Autorité de sûreté nucléaire.</w:t>
      </w:r>
    </w:p>
    <w:p w:rsidR="00D75AA1" w:rsidRPr="00D75AA1" w:rsidRDefault="00D75AA1" w:rsidP="00D75AA1"/>
    <w:p w:rsidR="00D75AA1" w:rsidRPr="00D75AA1" w:rsidRDefault="00D75AA1" w:rsidP="00D75AA1">
      <w:r w:rsidRPr="00D75AA1">
        <w:t xml:space="preserve">Fait à Montrouge, le </w:t>
      </w:r>
      <w:r w:rsidRPr="00D75AA1">
        <w:rPr>
          <w:highlight w:val="yellow"/>
        </w:rPr>
        <w:t>[date]</w:t>
      </w:r>
      <w:r w:rsidRPr="00D75AA1">
        <w:t>.</w:t>
      </w:r>
    </w:p>
    <w:p w:rsidR="00D75AA1" w:rsidRPr="00D75AA1" w:rsidRDefault="00D75AA1" w:rsidP="00D75AA1"/>
    <w:p w:rsidR="00D75AA1" w:rsidRPr="00D75AA1" w:rsidRDefault="00D75AA1" w:rsidP="00D75AA1">
      <w:pPr>
        <w:keepLines w:val="0"/>
        <w:ind w:left="4395" w:firstLine="0"/>
        <w:jc w:val="center"/>
        <w:rPr>
          <w:szCs w:val="24"/>
        </w:rPr>
      </w:pPr>
      <w:r w:rsidRPr="00D75AA1">
        <w:rPr>
          <w:szCs w:val="24"/>
        </w:rPr>
        <w:t>Le Président de l’Autorité de sûreté nucléaire,</w:t>
      </w:r>
    </w:p>
    <w:p w:rsidR="00D75AA1" w:rsidRDefault="00D75AA1" w:rsidP="00D75AA1">
      <w:pPr>
        <w:keepLines w:val="0"/>
        <w:ind w:left="4395" w:firstLine="0"/>
        <w:jc w:val="center"/>
        <w:rPr>
          <w:szCs w:val="24"/>
        </w:rPr>
      </w:pPr>
    </w:p>
    <w:p w:rsidR="0070510B" w:rsidRPr="00D75AA1" w:rsidRDefault="0070510B" w:rsidP="00D75AA1">
      <w:pPr>
        <w:keepLines w:val="0"/>
        <w:ind w:left="4395" w:firstLine="0"/>
        <w:jc w:val="center"/>
        <w:rPr>
          <w:szCs w:val="24"/>
        </w:rPr>
      </w:pPr>
    </w:p>
    <w:p w:rsidR="00D75AA1" w:rsidRPr="00D75AA1" w:rsidRDefault="00D75AA1" w:rsidP="00D75AA1">
      <w:pPr>
        <w:keepLines w:val="0"/>
        <w:ind w:left="4395" w:firstLine="0"/>
        <w:jc w:val="left"/>
        <w:rPr>
          <w:szCs w:val="24"/>
        </w:rPr>
      </w:pPr>
    </w:p>
    <w:p w:rsidR="00D75AA1" w:rsidRPr="00D75AA1" w:rsidRDefault="00D75AA1" w:rsidP="00D75AA1">
      <w:pPr>
        <w:keepLines w:val="0"/>
        <w:ind w:left="4395" w:firstLine="0"/>
        <w:jc w:val="center"/>
        <w:rPr>
          <w:szCs w:val="24"/>
        </w:rPr>
      </w:pPr>
      <w:r w:rsidRPr="00D75AA1">
        <w:rPr>
          <w:szCs w:val="24"/>
        </w:rPr>
        <w:lastRenderedPageBreak/>
        <w:t>Pierre-Franck CHEVET</w:t>
      </w:r>
    </w:p>
    <w:p w:rsidR="00D75AA1" w:rsidRDefault="00D75AA1" w:rsidP="00D75AA1">
      <w:pPr>
        <w:ind w:firstLine="0"/>
        <w:rPr>
          <w:b/>
          <w:szCs w:val="24"/>
        </w:rPr>
      </w:pPr>
      <w:r w:rsidRPr="00D75AA1">
        <w:rPr>
          <w:b/>
          <w:szCs w:val="24"/>
        </w:rPr>
        <w:br w:type="page"/>
      </w:r>
      <w:r w:rsidRPr="00D75AA1">
        <w:rPr>
          <w:b/>
          <w:szCs w:val="24"/>
        </w:rPr>
        <w:lastRenderedPageBreak/>
        <w:t xml:space="preserve">Annexe à la décision </w:t>
      </w:r>
      <w:r w:rsidRPr="00D75AA1">
        <w:rPr>
          <w:b/>
          <w:bCs/>
          <w:szCs w:val="24"/>
        </w:rPr>
        <w:t>n</w:t>
      </w:r>
      <w:r w:rsidRPr="00D75AA1">
        <w:rPr>
          <w:b/>
          <w:bCs/>
          <w:szCs w:val="24"/>
          <w:vertAlign w:val="superscript"/>
        </w:rPr>
        <w:t>o</w:t>
      </w:r>
      <w:r w:rsidRPr="00D75AA1">
        <w:rPr>
          <w:b/>
          <w:bCs/>
          <w:szCs w:val="24"/>
        </w:rPr>
        <w:t xml:space="preserve"> CODEP-CLG-2016-XXXX du Président de l’Autorité de sûreté nucléaire du XX modifiant la décision n</w:t>
      </w:r>
      <w:r w:rsidRPr="00D75AA1">
        <w:rPr>
          <w:b/>
          <w:szCs w:val="24"/>
          <w:vertAlign w:val="superscript"/>
        </w:rPr>
        <w:t>o</w:t>
      </w:r>
      <w:r w:rsidRPr="00D75AA1">
        <w:rPr>
          <w:b/>
          <w:szCs w:val="24"/>
        </w:rPr>
        <w:t xml:space="preserve"> 2014-DC-0466 de l’Autorité de Sûreté Nucléaire du 30 octobre 2014 relative au deuxième réexamen de sûreté des INB n</w:t>
      </w:r>
      <w:r w:rsidRPr="00D75AA1">
        <w:rPr>
          <w:b/>
          <w:szCs w:val="24"/>
          <w:vertAlign w:val="superscript"/>
        </w:rPr>
        <w:t>os</w:t>
      </w:r>
      <w:r w:rsidRPr="00D75AA1">
        <w:rPr>
          <w:b/>
          <w:szCs w:val="24"/>
        </w:rPr>
        <w:t xml:space="preserve"> 42 et 95, dénommées EOLE et MINERVE et exploitées par le Commissariat à l’énergie atomique et aux énergies alternatives dans son centre de Cadarache (Bouches-du-Rhône)</w:t>
      </w:r>
    </w:p>
    <w:p w:rsidR="000F617F" w:rsidRDefault="000F617F" w:rsidP="00D75AA1">
      <w:pPr>
        <w:ind w:firstLine="0"/>
        <w:rPr>
          <w:b/>
          <w:szCs w:val="24"/>
        </w:rPr>
      </w:pPr>
    </w:p>
    <w:p w:rsidR="000F617F" w:rsidRPr="000F617F" w:rsidRDefault="000F617F" w:rsidP="00D75AA1">
      <w:pPr>
        <w:ind w:firstLine="0"/>
        <w:rPr>
          <w:b/>
          <w:szCs w:val="24"/>
        </w:rPr>
      </w:pPr>
      <w:r>
        <w:rPr>
          <w:b/>
          <w:szCs w:val="24"/>
        </w:rPr>
        <w:t xml:space="preserve">Annexe substituée à l’annexe de la décision du 30 octobre </w:t>
      </w:r>
      <w:r w:rsidR="005458CF">
        <w:rPr>
          <w:b/>
          <w:szCs w:val="24"/>
        </w:rPr>
        <w:t xml:space="preserve">2014 </w:t>
      </w:r>
      <w:r>
        <w:rPr>
          <w:b/>
          <w:szCs w:val="24"/>
        </w:rPr>
        <w:t>susvisée</w:t>
      </w:r>
    </w:p>
    <w:p w:rsidR="00D75AA1" w:rsidRPr="00D75AA1" w:rsidRDefault="00D75AA1" w:rsidP="00D75AA1">
      <w:pPr>
        <w:ind w:firstLine="0"/>
        <w:rPr>
          <w:b/>
          <w:bCs/>
        </w:rPr>
      </w:pPr>
    </w:p>
    <w:p w:rsidR="00D75AA1" w:rsidRPr="00D75AA1" w:rsidRDefault="00D75AA1" w:rsidP="00D75AA1">
      <w:pPr>
        <w:ind w:firstLine="0"/>
        <w:rPr>
          <w:b/>
          <w:bCs/>
        </w:rPr>
      </w:pPr>
    </w:p>
    <w:p w:rsidR="00D75AA1" w:rsidRPr="00D75AA1" w:rsidRDefault="00D75AA1" w:rsidP="00D75AA1">
      <w:pPr>
        <w:ind w:firstLine="0"/>
        <w:rPr>
          <w:b/>
          <w:bCs/>
        </w:rPr>
      </w:pPr>
    </w:p>
    <w:p w:rsidR="00D75AA1" w:rsidRPr="00D75AA1" w:rsidRDefault="00D75AA1" w:rsidP="00D75AA1">
      <w:pPr>
        <w:ind w:firstLine="0"/>
        <w:jc w:val="center"/>
        <w:rPr>
          <w:b/>
          <w:bCs/>
        </w:rPr>
      </w:pPr>
      <w:r w:rsidRPr="00D75AA1">
        <w:rPr>
          <w:b/>
          <w:bCs/>
        </w:rPr>
        <w:t>Prescriptions applicables aux INB n</w:t>
      </w:r>
      <w:r w:rsidRPr="00D75AA1">
        <w:rPr>
          <w:b/>
          <w:bCs/>
          <w:vertAlign w:val="superscript"/>
        </w:rPr>
        <w:t>os</w:t>
      </w:r>
      <w:r w:rsidRPr="00D75AA1">
        <w:rPr>
          <w:b/>
          <w:bCs/>
        </w:rPr>
        <w:t> 42 et 95</w:t>
      </w:r>
    </w:p>
    <w:p w:rsidR="00D75AA1" w:rsidRPr="00D75AA1" w:rsidRDefault="00D75AA1" w:rsidP="00D75AA1">
      <w:pPr>
        <w:ind w:firstLine="0"/>
        <w:jc w:val="center"/>
        <w:rPr>
          <w:b/>
          <w:bCs/>
        </w:rPr>
      </w:pPr>
    </w:p>
    <w:p w:rsidR="00D75AA1" w:rsidRPr="00D75AA1" w:rsidRDefault="00D75AA1" w:rsidP="00D75AA1">
      <w:pPr>
        <w:ind w:firstLine="0"/>
        <w:jc w:val="center"/>
        <w:rPr>
          <w:b/>
          <w:bCs/>
        </w:rPr>
      </w:pPr>
    </w:p>
    <w:p w:rsidR="00D75AA1" w:rsidRPr="00D75AA1" w:rsidRDefault="00D75AA1" w:rsidP="00D75AA1">
      <w:pPr>
        <w:ind w:firstLine="0"/>
        <w:rPr>
          <w:rFonts w:cs="Arial"/>
          <w:iCs/>
        </w:rPr>
      </w:pPr>
    </w:p>
    <w:p w:rsidR="00D75AA1" w:rsidRPr="00D75AA1" w:rsidRDefault="00D75AA1" w:rsidP="00D75AA1">
      <w:pPr>
        <w:ind w:firstLine="0"/>
        <w:rPr>
          <w:rFonts w:cs="Arial"/>
          <w:iCs/>
        </w:rPr>
      </w:pPr>
      <w:r w:rsidRPr="00D75AA1">
        <w:rPr>
          <w:b/>
        </w:rPr>
        <w:t>[INB 42/95 - 01]</w:t>
      </w:r>
      <w:r w:rsidRPr="00D75AA1">
        <w:t xml:space="preserve"> </w:t>
      </w:r>
      <w:r w:rsidR="00E44142">
        <w:tab/>
      </w:r>
      <w:r w:rsidR="000F617F">
        <w:t>Conformément à la déclaration faite par l’exploitant le 2</w:t>
      </w:r>
      <w:r w:rsidR="00617EA6">
        <w:t>8</w:t>
      </w:r>
      <w:r w:rsidR="000F617F">
        <w:t xml:space="preserve"> juillet 2016 par sa lettre référencée </w:t>
      </w:r>
      <w:r w:rsidR="00617EA6">
        <w:t xml:space="preserve">CEA </w:t>
      </w:r>
      <w:r w:rsidR="000F617F" w:rsidRPr="000F617F">
        <w:t>DPSN/DIR/2016-361</w:t>
      </w:r>
      <w:r w:rsidRPr="00D75AA1">
        <w:rPr>
          <w:rFonts w:cs="Arial"/>
          <w:iCs/>
        </w:rPr>
        <w:t xml:space="preserve">, les installations sont </w:t>
      </w:r>
      <w:r w:rsidR="000F617F" w:rsidRPr="000F617F">
        <w:rPr>
          <w:rFonts w:cs="Arial"/>
          <w:iCs/>
        </w:rPr>
        <w:t xml:space="preserve">définitivement </w:t>
      </w:r>
      <w:r w:rsidR="000F617F">
        <w:rPr>
          <w:rFonts w:cs="Arial"/>
          <w:iCs/>
        </w:rPr>
        <w:t xml:space="preserve">arrêtées </w:t>
      </w:r>
      <w:r w:rsidR="000F617F">
        <w:t>a</w:t>
      </w:r>
      <w:r w:rsidR="000F617F" w:rsidRPr="000F617F">
        <w:rPr>
          <w:rFonts w:cs="Arial"/>
          <w:iCs/>
        </w:rPr>
        <w:t>u plus tard le 31 décembre 2017</w:t>
      </w:r>
      <w:r w:rsidRPr="00D75AA1">
        <w:rPr>
          <w:rFonts w:cs="Arial"/>
          <w:iCs/>
        </w:rPr>
        <w:t>.</w:t>
      </w:r>
    </w:p>
    <w:p w:rsidR="00D75AA1" w:rsidRPr="00D75AA1" w:rsidRDefault="00D75AA1" w:rsidP="00D75AA1">
      <w:pPr>
        <w:ind w:firstLine="0"/>
      </w:pPr>
    </w:p>
    <w:p w:rsidR="00D75AA1" w:rsidRPr="00D75AA1" w:rsidRDefault="00D75AA1" w:rsidP="00D75AA1">
      <w:pPr>
        <w:ind w:firstLine="0"/>
      </w:pPr>
      <w:r w:rsidRPr="00D75AA1">
        <w:rPr>
          <w:b/>
        </w:rPr>
        <w:t>[INB 42/95 - 02]</w:t>
      </w:r>
      <w:r w:rsidRPr="00D75AA1">
        <w:t xml:space="preserve"> </w:t>
      </w:r>
      <w:r w:rsidR="00E44142">
        <w:tab/>
      </w:r>
      <w:r w:rsidRPr="00D75AA1">
        <w:t>Au plus tard le 2</w:t>
      </w:r>
      <w:r w:rsidR="00B1740E">
        <w:t>8</w:t>
      </w:r>
      <w:r w:rsidRPr="00D75AA1">
        <w:t xml:space="preserve"> juillet 2018, le CEA transmet le dossier relatif au démantèlement selon les dispositions de l’article L.593-27 du code de l’environnement.</w:t>
      </w:r>
    </w:p>
    <w:p w:rsidR="00D75AA1" w:rsidRDefault="00D75AA1" w:rsidP="00D75AA1">
      <w:pPr>
        <w:ind w:firstLine="0"/>
        <w:rPr>
          <w:szCs w:val="24"/>
        </w:rPr>
      </w:pPr>
    </w:p>
    <w:p w:rsidR="0063013B" w:rsidRPr="0063013B" w:rsidRDefault="0063013B" w:rsidP="0063013B">
      <w:pPr>
        <w:ind w:firstLine="0"/>
        <w:rPr>
          <w:iCs/>
          <w:szCs w:val="24"/>
        </w:rPr>
      </w:pPr>
      <w:r w:rsidRPr="0063013B">
        <w:rPr>
          <w:b/>
          <w:szCs w:val="24"/>
        </w:rPr>
        <w:t>[INB 42/95 – 0</w:t>
      </w:r>
      <w:r>
        <w:rPr>
          <w:b/>
          <w:szCs w:val="24"/>
        </w:rPr>
        <w:t>3</w:t>
      </w:r>
      <w:r w:rsidRPr="0063013B">
        <w:rPr>
          <w:b/>
          <w:szCs w:val="24"/>
        </w:rPr>
        <w:t>]</w:t>
      </w:r>
      <w:r w:rsidRPr="0063013B">
        <w:rPr>
          <w:b/>
          <w:szCs w:val="24"/>
        </w:rPr>
        <w:tab/>
      </w:r>
      <w:r w:rsidRPr="0063013B">
        <w:rPr>
          <w:szCs w:val="24"/>
        </w:rPr>
        <w:t xml:space="preserve">L’introduction de matières radioactives est interdite, à l’exception </w:t>
      </w:r>
      <w:r w:rsidR="0070510B">
        <w:rPr>
          <w:szCs w:val="24"/>
        </w:rPr>
        <w:t xml:space="preserve">en 2017 </w:t>
      </w:r>
      <w:r w:rsidRPr="0063013B">
        <w:rPr>
          <w:szCs w:val="24"/>
        </w:rPr>
        <w:t>de trois cent douze crayons de combustible UO</w:t>
      </w:r>
      <w:r w:rsidRPr="0063013B">
        <w:rPr>
          <w:szCs w:val="24"/>
          <w:vertAlign w:val="subscript"/>
        </w:rPr>
        <w:t>2</w:t>
      </w:r>
      <w:r w:rsidRPr="0063013B">
        <w:rPr>
          <w:szCs w:val="24"/>
        </w:rPr>
        <w:t xml:space="preserve"> « Epicure »</w:t>
      </w:r>
      <w:r w:rsidRPr="0063013B">
        <w:rPr>
          <w:iCs/>
          <w:szCs w:val="24"/>
        </w:rPr>
        <w:t>.</w:t>
      </w:r>
    </w:p>
    <w:p w:rsidR="0063013B" w:rsidRPr="00D75AA1" w:rsidRDefault="0063013B" w:rsidP="00D75AA1">
      <w:pPr>
        <w:ind w:firstLine="0"/>
        <w:rPr>
          <w:szCs w:val="24"/>
        </w:rPr>
      </w:pPr>
    </w:p>
    <w:p w:rsidR="00D75AA1" w:rsidRPr="00D75AA1" w:rsidRDefault="00D75AA1" w:rsidP="00D75AA1">
      <w:pPr>
        <w:ind w:firstLine="0"/>
      </w:pPr>
      <w:r w:rsidRPr="00D75AA1">
        <w:rPr>
          <w:b/>
        </w:rPr>
        <w:t>[INB 42/95 - 0</w:t>
      </w:r>
      <w:r w:rsidR="0063013B">
        <w:rPr>
          <w:b/>
        </w:rPr>
        <w:t>4</w:t>
      </w:r>
      <w:r w:rsidRPr="00D75AA1">
        <w:rPr>
          <w:b/>
        </w:rPr>
        <w:t>]</w:t>
      </w:r>
      <w:r w:rsidRPr="00D75AA1">
        <w:t xml:space="preserve"> </w:t>
      </w:r>
      <w:r w:rsidR="00E44142">
        <w:tab/>
      </w:r>
      <w:r w:rsidRPr="00D75AA1">
        <w:t xml:space="preserve">Au plus tard </w:t>
      </w:r>
      <w:r w:rsidRPr="00D75AA1">
        <w:rPr>
          <w:rFonts w:cs="Arial"/>
          <w:iCs/>
        </w:rPr>
        <w:t xml:space="preserve">le 31 décembre 2020, </w:t>
      </w:r>
      <w:r w:rsidRPr="00D75AA1">
        <w:t>l’exploitant évacue une quantité de matières radioactives permettant de réduire d</w:t>
      </w:r>
      <w:r w:rsidR="0063013B">
        <w:t xml:space="preserve">’au moins </w:t>
      </w:r>
      <w:r w:rsidRPr="00D75AA1">
        <w:t xml:space="preserve">99% l’impact radiologique tel qu’estimé dans le courrier du 17 mars 2014 susvisé. Pour ce faire, il évacue les matières radioactives suivantes : </w:t>
      </w:r>
    </w:p>
    <w:p w:rsidR="00D75AA1" w:rsidRPr="00D75AA1" w:rsidRDefault="00D75AA1" w:rsidP="00D75AA1">
      <w:pPr>
        <w:keepLines w:val="0"/>
        <w:numPr>
          <w:ilvl w:val="0"/>
          <w:numId w:val="3"/>
        </w:numPr>
        <w:suppressAutoHyphens w:val="0"/>
        <w:ind w:hanging="558"/>
        <w:rPr>
          <w:szCs w:val="24"/>
        </w:rPr>
      </w:pPr>
      <w:r w:rsidRPr="00D75AA1">
        <w:rPr>
          <w:szCs w:val="24"/>
        </w:rPr>
        <w:t xml:space="preserve">mille </w:t>
      </w:r>
      <w:r w:rsidR="007A1CD0">
        <w:rPr>
          <w:szCs w:val="24"/>
        </w:rPr>
        <w:t>trois cent</w:t>
      </w:r>
      <w:r w:rsidR="00466D55">
        <w:rPr>
          <w:szCs w:val="24"/>
        </w:rPr>
        <w:t xml:space="preserve"> vingt-huit </w:t>
      </w:r>
      <w:r w:rsidRPr="00D75AA1">
        <w:rPr>
          <w:szCs w:val="24"/>
        </w:rPr>
        <w:t>crayons de combustible UO</w:t>
      </w:r>
      <w:r w:rsidRPr="00D75AA1">
        <w:rPr>
          <w:szCs w:val="24"/>
          <w:vertAlign w:val="subscript"/>
        </w:rPr>
        <w:t>2</w:t>
      </w:r>
      <w:r w:rsidRPr="00D75AA1">
        <w:rPr>
          <w:szCs w:val="24"/>
        </w:rPr>
        <w:t xml:space="preserve"> « Epicure » ;</w:t>
      </w:r>
    </w:p>
    <w:p w:rsidR="00D75AA1" w:rsidRPr="00D75AA1" w:rsidRDefault="00D75AA1" w:rsidP="00D75AA1">
      <w:pPr>
        <w:keepLines w:val="0"/>
        <w:numPr>
          <w:ilvl w:val="0"/>
          <w:numId w:val="3"/>
        </w:numPr>
        <w:suppressAutoHyphens w:val="0"/>
        <w:ind w:hanging="558"/>
        <w:rPr>
          <w:szCs w:val="24"/>
        </w:rPr>
      </w:pPr>
      <w:r w:rsidRPr="00D75AA1">
        <w:rPr>
          <w:szCs w:val="24"/>
        </w:rPr>
        <w:t>quatre crayons de combustible UO</w:t>
      </w:r>
      <w:r w:rsidRPr="00D75AA1">
        <w:rPr>
          <w:szCs w:val="24"/>
          <w:vertAlign w:val="subscript"/>
        </w:rPr>
        <w:t>2</w:t>
      </w:r>
      <w:r w:rsidRPr="00D75AA1">
        <w:rPr>
          <w:szCs w:val="24"/>
        </w:rPr>
        <w:t xml:space="preserve"> « Epicure » spécial</w:t>
      </w:r>
      <w:r w:rsidRPr="00D75AA1">
        <w:rPr>
          <w:szCs w:val="24"/>
          <w:vertAlign w:val="superscript"/>
        </w:rPr>
        <w:t xml:space="preserve"> </w:t>
      </w:r>
      <w:r w:rsidRPr="00D75AA1">
        <w:rPr>
          <w:szCs w:val="24"/>
        </w:rPr>
        <w:t>;</w:t>
      </w:r>
    </w:p>
    <w:p w:rsidR="00D75AA1" w:rsidRPr="00D75AA1" w:rsidRDefault="00D75AA1" w:rsidP="00D75AA1">
      <w:pPr>
        <w:keepLines w:val="0"/>
        <w:numPr>
          <w:ilvl w:val="0"/>
          <w:numId w:val="3"/>
        </w:numPr>
        <w:suppressAutoHyphens w:val="0"/>
        <w:ind w:hanging="558"/>
        <w:rPr>
          <w:szCs w:val="24"/>
        </w:rPr>
      </w:pPr>
      <w:r w:rsidRPr="00D75AA1">
        <w:rPr>
          <w:szCs w:val="24"/>
        </w:rPr>
        <w:t>quarante crayons de combustible UO</w:t>
      </w:r>
      <w:r w:rsidRPr="00D75AA1">
        <w:rPr>
          <w:szCs w:val="24"/>
          <w:vertAlign w:val="subscript"/>
        </w:rPr>
        <w:t>2</w:t>
      </w:r>
      <w:r w:rsidRPr="00D75AA1">
        <w:rPr>
          <w:szCs w:val="24"/>
        </w:rPr>
        <w:t>-GdO</w:t>
      </w:r>
      <w:r w:rsidRPr="00D75AA1">
        <w:rPr>
          <w:szCs w:val="24"/>
          <w:vertAlign w:val="subscript"/>
        </w:rPr>
        <w:t>3</w:t>
      </w:r>
      <w:r w:rsidRPr="00D75AA1">
        <w:rPr>
          <w:szCs w:val="24"/>
        </w:rPr>
        <w:t xml:space="preserve"> « Epicure </w:t>
      </w:r>
      <w:r w:rsidR="006C3292" w:rsidRPr="00D75AA1">
        <w:rPr>
          <w:szCs w:val="24"/>
        </w:rPr>
        <w:t>» ;</w:t>
      </w:r>
    </w:p>
    <w:p w:rsidR="00D75AA1" w:rsidRPr="00D75AA1" w:rsidRDefault="00D75AA1" w:rsidP="00D75AA1">
      <w:pPr>
        <w:keepLines w:val="0"/>
        <w:numPr>
          <w:ilvl w:val="0"/>
          <w:numId w:val="3"/>
        </w:numPr>
        <w:suppressAutoHyphens w:val="0"/>
        <w:ind w:hanging="558"/>
        <w:rPr>
          <w:szCs w:val="24"/>
        </w:rPr>
      </w:pPr>
      <w:r w:rsidRPr="00D75AA1">
        <w:rPr>
          <w:szCs w:val="24"/>
        </w:rPr>
        <w:t>huit cents crayons de combustible UO</w:t>
      </w:r>
      <w:r w:rsidRPr="00D75AA1">
        <w:rPr>
          <w:szCs w:val="24"/>
          <w:vertAlign w:val="subscript"/>
        </w:rPr>
        <w:t>2</w:t>
      </w:r>
      <w:r w:rsidRPr="00D75AA1">
        <w:rPr>
          <w:szCs w:val="24"/>
        </w:rPr>
        <w:t xml:space="preserve"> « Min II </w:t>
      </w:r>
      <w:r w:rsidR="006C3292" w:rsidRPr="00D75AA1">
        <w:rPr>
          <w:szCs w:val="24"/>
        </w:rPr>
        <w:t>» ;</w:t>
      </w:r>
    </w:p>
    <w:p w:rsidR="00D75AA1" w:rsidRPr="00D75AA1" w:rsidRDefault="00D75AA1" w:rsidP="00D75AA1">
      <w:pPr>
        <w:keepLines w:val="0"/>
        <w:numPr>
          <w:ilvl w:val="0"/>
          <w:numId w:val="3"/>
        </w:numPr>
        <w:suppressAutoHyphens w:val="0"/>
        <w:ind w:hanging="558"/>
        <w:rPr>
          <w:szCs w:val="24"/>
        </w:rPr>
      </w:pPr>
      <w:r w:rsidRPr="00D75AA1">
        <w:rPr>
          <w:szCs w:val="24"/>
        </w:rPr>
        <w:t>sept assemblages de combustible UO</w:t>
      </w:r>
      <w:r w:rsidRPr="00D75AA1">
        <w:rPr>
          <w:szCs w:val="24"/>
          <w:vertAlign w:val="subscript"/>
        </w:rPr>
        <w:t>2</w:t>
      </w:r>
      <w:r w:rsidRPr="00D75AA1">
        <w:rPr>
          <w:szCs w:val="24"/>
        </w:rPr>
        <w:t xml:space="preserve"> « RJH » ;</w:t>
      </w:r>
    </w:p>
    <w:p w:rsidR="00D75AA1" w:rsidRPr="00D75AA1" w:rsidRDefault="00D75AA1" w:rsidP="00D75AA1">
      <w:pPr>
        <w:keepLines w:val="0"/>
        <w:numPr>
          <w:ilvl w:val="0"/>
          <w:numId w:val="3"/>
        </w:numPr>
        <w:suppressAutoHyphens w:val="0"/>
        <w:ind w:hanging="558"/>
        <w:rPr>
          <w:szCs w:val="24"/>
        </w:rPr>
      </w:pPr>
      <w:r w:rsidRPr="00D75AA1">
        <w:rPr>
          <w:szCs w:val="24"/>
        </w:rPr>
        <w:t>quatre-vingt</w:t>
      </w:r>
      <w:r w:rsidR="007A1CD0">
        <w:rPr>
          <w:szCs w:val="24"/>
        </w:rPr>
        <w:t>-</w:t>
      </w:r>
      <w:r w:rsidRPr="00D75AA1">
        <w:rPr>
          <w:szCs w:val="24"/>
        </w:rPr>
        <w:t>sept assemblages de combustible UO</w:t>
      </w:r>
      <w:r w:rsidRPr="00D75AA1">
        <w:rPr>
          <w:szCs w:val="24"/>
          <w:vertAlign w:val="subscript"/>
        </w:rPr>
        <w:t>2</w:t>
      </w:r>
      <w:r w:rsidRPr="00D75AA1">
        <w:rPr>
          <w:szCs w:val="24"/>
        </w:rPr>
        <w:t xml:space="preserve"> « Minerve ».</w:t>
      </w:r>
    </w:p>
    <w:p w:rsidR="00D75AA1" w:rsidRPr="00D75AA1" w:rsidRDefault="00D75AA1" w:rsidP="00D75AA1">
      <w:pPr>
        <w:keepLines w:val="0"/>
        <w:rPr>
          <w:szCs w:val="24"/>
        </w:rPr>
      </w:pPr>
    </w:p>
    <w:p w:rsidR="00D75AA1" w:rsidRPr="00D75AA1" w:rsidRDefault="00D75AA1" w:rsidP="00D75AA1">
      <w:pPr>
        <w:keepLines w:val="0"/>
        <w:rPr>
          <w:sz w:val="20"/>
        </w:rPr>
      </w:pPr>
    </w:p>
    <w:p w:rsidR="00D75AA1" w:rsidRPr="00D75AA1" w:rsidRDefault="00D75AA1" w:rsidP="00D75AA1">
      <w:pPr>
        <w:keepLines w:val="0"/>
        <w:rPr>
          <w:sz w:val="20"/>
        </w:rPr>
      </w:pPr>
    </w:p>
    <w:p w:rsidR="0063666E" w:rsidRDefault="0063666E" w:rsidP="002060A0">
      <w:pPr>
        <w:ind w:firstLine="0"/>
      </w:pPr>
    </w:p>
    <w:sectPr w:rsidR="0063666E" w:rsidSect="001777AF">
      <w:headerReference w:type="even" r:id="rId8"/>
      <w:headerReference w:type="default" r:id="rId9"/>
      <w:footerReference w:type="default" r:id="rId10"/>
      <w:headerReference w:type="first" r:id="rId11"/>
      <w:pgSz w:w="11905" w:h="16837"/>
      <w:pgMar w:top="1134" w:right="1134" w:bottom="1134" w:left="1134" w:header="720" w:footer="720" w:gutter="0"/>
      <w:cols w:space="720"/>
      <w:docGrid w:linePitch="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5A02" w:rsidRDefault="00625A02">
      <w:r>
        <w:separator/>
      </w:r>
    </w:p>
  </w:endnote>
  <w:endnote w:type="continuationSeparator" w:id="0">
    <w:p w:rsidR="00625A02" w:rsidRDefault="00625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032" w:rsidRDefault="001667E6" w:rsidP="00973DD0">
    <w:pPr>
      <w:pStyle w:val="Pieddepage"/>
      <w:ind w:right="360"/>
      <w:jc w:val="both"/>
    </w:pPr>
    <w:r>
      <w:rPr>
        <w:noProof/>
        <w:lang w:eastAsia="fr-FR"/>
      </w:rPr>
      <mc:AlternateContent>
        <mc:Choice Requires="wps">
          <w:drawing>
            <wp:anchor distT="0" distB="0" distL="0" distR="0" simplePos="0" relativeHeight="251656192" behindDoc="0" locked="0" layoutInCell="1" allowOverlap="1">
              <wp:simplePos x="0" y="0"/>
              <wp:positionH relativeFrom="page">
                <wp:posOffset>6340475</wp:posOffset>
              </wp:positionH>
              <wp:positionV relativeFrom="paragraph">
                <wp:posOffset>635</wp:posOffset>
              </wp:positionV>
              <wp:extent cx="317500" cy="173355"/>
              <wp:effectExtent l="6350" t="635" r="0" b="698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7500" cy="1733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3032" w:rsidRDefault="001F3032">
                          <w:pPr>
                            <w:pStyle w:val="Pieddepage"/>
                          </w:pPr>
                          <w:r>
                            <w:rPr>
                              <w:rStyle w:val="Numrodepage"/>
                            </w:rPr>
                            <w:fldChar w:fldCharType="begin"/>
                          </w:r>
                          <w:r>
                            <w:rPr>
                              <w:rStyle w:val="Numrodepage"/>
                            </w:rPr>
                            <w:instrText xml:space="preserve"> PAGE </w:instrText>
                          </w:r>
                          <w:r>
                            <w:rPr>
                              <w:rStyle w:val="Numrodepage"/>
                            </w:rPr>
                            <w:fldChar w:fldCharType="separate"/>
                          </w:r>
                          <w:r w:rsidR="00641D06">
                            <w:rPr>
                              <w:rStyle w:val="Numrodepage"/>
                              <w:noProof/>
                            </w:rPr>
                            <w:t>2</w:t>
                          </w:r>
                          <w:r>
                            <w:rPr>
                              <w:rStyle w:val="Numrodepage"/>
                            </w:rPr>
                            <w:fldChar w:fldCharType="end"/>
                          </w:r>
                          <w:r>
                            <w:rPr>
                              <w:rStyle w:val="Numrodepage"/>
                            </w:rPr>
                            <w:t>/</w:t>
                          </w:r>
                          <w:r w:rsidR="0070690C">
                            <w:rPr>
                              <w:rStyle w:val="Numrodepage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499.25pt;margin-top:.05pt;width:25pt;height:13.65pt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" stroked="f">
              <v:fill opacity="0"/>
              <v:textbox inset="0,0,0,0">
                <w:txbxContent>
                  <w:p w:rsidR="001F3032" w:rsidRDefault="001F3032">
                    <w:pPr>
                      <w:pStyle w:val="Pieddepage"/>
                    </w:pPr>
                    <w:r>
                      <w:rPr>
                        <w:rStyle w:val="Numrodepage"/>
                      </w:rPr>
                      <w:fldChar w:fldCharType="begin"/>
                    </w:r>
                    <w:r>
                      <w:rPr>
                        <w:rStyle w:val="Numrodepage"/>
                      </w:rPr>
                      <w:instrText xml:space="preserve"> PAGE </w:instrText>
                    </w:r>
                    <w:r>
                      <w:rPr>
                        <w:rStyle w:val="Numrodepage"/>
                      </w:rPr>
                      <w:fldChar w:fldCharType="separate"/>
                    </w:r>
                    <w:r w:rsidR="00641D06">
                      <w:rPr>
                        <w:rStyle w:val="Numrodepage"/>
                        <w:noProof/>
                      </w:rPr>
                      <w:t>2</w:t>
                    </w:r>
                    <w:r>
                      <w:rPr>
                        <w:rStyle w:val="Numrodepage"/>
                      </w:rPr>
                      <w:fldChar w:fldCharType="end"/>
                    </w:r>
                    <w:r>
                      <w:rPr>
                        <w:rStyle w:val="Numrodepage"/>
                      </w:rPr>
                      <w:t>/</w:t>
                    </w:r>
                    <w:r w:rsidR="0070690C">
                      <w:rPr>
                        <w:rStyle w:val="Numrodepage"/>
                      </w:rPr>
                      <w:t>3</w:t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5A02" w:rsidRDefault="00625A02">
      <w:r>
        <w:separator/>
      </w:r>
    </w:p>
  </w:footnote>
  <w:footnote w:type="continuationSeparator" w:id="0">
    <w:p w:rsidR="00625A02" w:rsidRDefault="00625A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032" w:rsidRDefault="00641D06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4" type="#_x0000_t136" style="position:absolute;left:0;text-align:left;margin-left:0;margin-top:0;width:424.6pt;height:254.7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Garamond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032" w:rsidRDefault="00641D06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5" type="#_x0000_t136" style="position:absolute;left:0;text-align:left;margin-left:0;margin-top:0;width:424.6pt;height:2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Garamond&quot;;font-size:1pt" string="Proje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3032" w:rsidRDefault="00641D06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53" type="#_x0000_t136" style="position:absolute;left:0;text-align:left;margin-left:0;margin-top:0;width:424.6pt;height:254.7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Garamond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1647"/>
        </w:tabs>
        <w:ind w:left="1647" w:hanging="360"/>
      </w:pPr>
      <w:rPr>
        <w:rFonts w:ascii="Symbol" w:hAnsi="Symbol"/>
      </w:rPr>
    </w:lvl>
  </w:abstractNum>
  <w:abstractNum w:abstractNumId="2" w15:restartNumberingAfterBreak="0">
    <w:nsid w:val="14C75D46"/>
    <w:multiLevelType w:val="hybridMultilevel"/>
    <w:tmpl w:val="0EE47F7A"/>
    <w:lvl w:ilvl="0" w:tplc="0C20847C">
      <w:start w:val="1"/>
      <w:numFmt w:val="bullet"/>
      <w:lvlText w:val="–"/>
      <w:lvlJc w:val="left"/>
      <w:pPr>
        <w:tabs>
          <w:tab w:val="num" w:pos="377"/>
        </w:tabs>
        <w:ind w:left="377" w:hanging="377"/>
      </w:pPr>
      <w:rPr>
        <w:rFonts w:ascii="Garamond" w:hAnsi="Garamond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3" w15:restartNumberingAfterBreak="0">
    <w:nsid w:val="38D33580"/>
    <w:multiLevelType w:val="hybridMultilevel"/>
    <w:tmpl w:val="E9A4C9F8"/>
    <w:lvl w:ilvl="0" w:tplc="C2FCAECA">
      <w:start w:val="2"/>
      <w:numFmt w:val="bullet"/>
      <w:lvlText w:val="-"/>
      <w:lvlJc w:val="left"/>
      <w:pPr>
        <w:tabs>
          <w:tab w:val="num" w:pos="918"/>
        </w:tabs>
        <w:ind w:left="918" w:hanging="930"/>
      </w:pPr>
      <w:rPr>
        <w:rFonts w:ascii="Garamond" w:eastAsia="Times New Roman" w:hAnsi="Garamond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4" w15:restartNumberingAfterBreak="0">
    <w:nsid w:val="529D2886"/>
    <w:multiLevelType w:val="hybridMultilevel"/>
    <w:tmpl w:val="99CE21AC"/>
    <w:lvl w:ilvl="0" w:tplc="0C20847C">
      <w:start w:val="1"/>
      <w:numFmt w:val="bullet"/>
      <w:lvlText w:val="–"/>
      <w:lvlJc w:val="left"/>
      <w:pPr>
        <w:tabs>
          <w:tab w:val="num" w:pos="377"/>
        </w:tabs>
        <w:ind w:left="377" w:hanging="377"/>
      </w:pPr>
      <w:rPr>
        <w:rFonts w:ascii="Garamond" w:hAnsi="Garamond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5" w15:restartNumberingAfterBreak="0">
    <w:nsid w:val="56F2486C"/>
    <w:multiLevelType w:val="hybridMultilevel"/>
    <w:tmpl w:val="312A66AC"/>
    <w:lvl w:ilvl="0" w:tplc="71EE400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315806"/>
    <w:multiLevelType w:val="hybridMultilevel"/>
    <w:tmpl w:val="1C9E3C5A"/>
    <w:lvl w:ilvl="0" w:tplc="35AC8354">
      <w:start w:val="1"/>
      <w:numFmt w:val="bullet"/>
      <w:pStyle w:val="Listepuces1"/>
      <w:lvlText w:val=""/>
      <w:lvlJc w:val="left"/>
      <w:pPr>
        <w:tabs>
          <w:tab w:val="num" w:pos="1211"/>
        </w:tabs>
        <w:ind w:left="0" w:firstLine="851"/>
      </w:pPr>
      <w:rPr>
        <w:rFonts w:ascii="Wingdings" w:hAnsi="Wingdings" w:hint="default"/>
      </w:rPr>
    </w:lvl>
    <w:lvl w:ilvl="1" w:tplc="040C0003">
      <w:start w:val="10"/>
      <w:numFmt w:val="bullet"/>
      <w:lvlText w:val="-"/>
      <w:lvlJc w:val="left"/>
      <w:pPr>
        <w:tabs>
          <w:tab w:val="num" w:pos="2291"/>
        </w:tabs>
        <w:ind w:left="2291" w:hanging="360"/>
      </w:pPr>
      <w:rPr>
        <w:rFonts w:ascii="Garamond" w:eastAsia="Times New Roman" w:hAnsi="Garamond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74C14EC3"/>
    <w:multiLevelType w:val="hybridMultilevel"/>
    <w:tmpl w:val="8B026B58"/>
    <w:lvl w:ilvl="0" w:tplc="040C0003">
      <w:start w:val="10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AC360F"/>
    <w:multiLevelType w:val="hybridMultilevel"/>
    <w:tmpl w:val="5FCED354"/>
    <w:lvl w:ilvl="0" w:tplc="C3E24948">
      <w:start w:val="1"/>
      <w:numFmt w:val="decimal"/>
      <w:lvlText w:val="[%1]"/>
      <w:lvlJc w:val="left"/>
      <w:pPr>
        <w:tabs>
          <w:tab w:val="num" w:pos="1571"/>
        </w:tabs>
        <w:ind w:left="1211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8"/>
  </w:num>
  <w:num w:numId="5">
    <w:abstractNumId w:val="6"/>
  </w:num>
  <w:num w:numId="6">
    <w:abstractNumId w:val="4"/>
  </w:num>
  <w:num w:numId="7">
    <w:abstractNumId w:val="2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noPunctuationKerning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FC5"/>
    <w:rsid w:val="00005B57"/>
    <w:rsid w:val="00007662"/>
    <w:rsid w:val="00012E24"/>
    <w:rsid w:val="000210B8"/>
    <w:rsid w:val="00021616"/>
    <w:rsid w:val="00022F6B"/>
    <w:rsid w:val="00025A0D"/>
    <w:rsid w:val="000261CB"/>
    <w:rsid w:val="000261D2"/>
    <w:rsid w:val="0003111B"/>
    <w:rsid w:val="00034D56"/>
    <w:rsid w:val="00040AC8"/>
    <w:rsid w:val="00045F62"/>
    <w:rsid w:val="00046785"/>
    <w:rsid w:val="000555AA"/>
    <w:rsid w:val="00056FF4"/>
    <w:rsid w:val="00060487"/>
    <w:rsid w:val="0006790C"/>
    <w:rsid w:val="000771F0"/>
    <w:rsid w:val="00082DFA"/>
    <w:rsid w:val="0008544F"/>
    <w:rsid w:val="00086A75"/>
    <w:rsid w:val="0009112D"/>
    <w:rsid w:val="00092348"/>
    <w:rsid w:val="000925B0"/>
    <w:rsid w:val="00096485"/>
    <w:rsid w:val="000A0643"/>
    <w:rsid w:val="000A0654"/>
    <w:rsid w:val="000A306A"/>
    <w:rsid w:val="000A7A19"/>
    <w:rsid w:val="000B2DCB"/>
    <w:rsid w:val="000B4A9D"/>
    <w:rsid w:val="000C3D92"/>
    <w:rsid w:val="000C6C86"/>
    <w:rsid w:val="000D4B04"/>
    <w:rsid w:val="000E0809"/>
    <w:rsid w:val="000E2BFF"/>
    <w:rsid w:val="000E4F3B"/>
    <w:rsid w:val="000E546B"/>
    <w:rsid w:val="000F1B50"/>
    <w:rsid w:val="000F4B7E"/>
    <w:rsid w:val="000F617F"/>
    <w:rsid w:val="0010157E"/>
    <w:rsid w:val="00107AE7"/>
    <w:rsid w:val="001116EF"/>
    <w:rsid w:val="00113191"/>
    <w:rsid w:val="0011578E"/>
    <w:rsid w:val="0011795F"/>
    <w:rsid w:val="00117CC1"/>
    <w:rsid w:val="00123B22"/>
    <w:rsid w:val="00132A29"/>
    <w:rsid w:val="00132E9B"/>
    <w:rsid w:val="00137251"/>
    <w:rsid w:val="001411B7"/>
    <w:rsid w:val="00145D23"/>
    <w:rsid w:val="001538DE"/>
    <w:rsid w:val="001650E3"/>
    <w:rsid w:val="001667E6"/>
    <w:rsid w:val="001702FC"/>
    <w:rsid w:val="001777AF"/>
    <w:rsid w:val="00180C4D"/>
    <w:rsid w:val="00182F97"/>
    <w:rsid w:val="00184AE7"/>
    <w:rsid w:val="00187F3C"/>
    <w:rsid w:val="00193643"/>
    <w:rsid w:val="001A20BC"/>
    <w:rsid w:val="001C00E2"/>
    <w:rsid w:val="001C42E6"/>
    <w:rsid w:val="001C5C96"/>
    <w:rsid w:val="001C60FB"/>
    <w:rsid w:val="001C7C39"/>
    <w:rsid w:val="001E41F2"/>
    <w:rsid w:val="001E6B20"/>
    <w:rsid w:val="001F1B29"/>
    <w:rsid w:val="001F3032"/>
    <w:rsid w:val="001F438B"/>
    <w:rsid w:val="001F5968"/>
    <w:rsid w:val="002060A0"/>
    <w:rsid w:val="002221BD"/>
    <w:rsid w:val="00225095"/>
    <w:rsid w:val="00231263"/>
    <w:rsid w:val="00232E25"/>
    <w:rsid w:val="00232E66"/>
    <w:rsid w:val="00233997"/>
    <w:rsid w:val="002374E2"/>
    <w:rsid w:val="00240632"/>
    <w:rsid w:val="0024157C"/>
    <w:rsid w:val="00242D96"/>
    <w:rsid w:val="002430A0"/>
    <w:rsid w:val="0024562B"/>
    <w:rsid w:val="002458C6"/>
    <w:rsid w:val="002510F7"/>
    <w:rsid w:val="00253133"/>
    <w:rsid w:val="00253460"/>
    <w:rsid w:val="00254C89"/>
    <w:rsid w:val="00260927"/>
    <w:rsid w:val="00260BA1"/>
    <w:rsid w:val="002767F2"/>
    <w:rsid w:val="0028168A"/>
    <w:rsid w:val="002840A5"/>
    <w:rsid w:val="00296563"/>
    <w:rsid w:val="002A3394"/>
    <w:rsid w:val="002A7D71"/>
    <w:rsid w:val="002B485A"/>
    <w:rsid w:val="002C3353"/>
    <w:rsid w:val="002E15DA"/>
    <w:rsid w:val="002E4186"/>
    <w:rsid w:val="002E5369"/>
    <w:rsid w:val="002F2D9B"/>
    <w:rsid w:val="002F381B"/>
    <w:rsid w:val="002F3AEF"/>
    <w:rsid w:val="002F7C96"/>
    <w:rsid w:val="003030C6"/>
    <w:rsid w:val="0030464F"/>
    <w:rsid w:val="00304DFF"/>
    <w:rsid w:val="00306499"/>
    <w:rsid w:val="003065A6"/>
    <w:rsid w:val="003161C2"/>
    <w:rsid w:val="003226DE"/>
    <w:rsid w:val="00323294"/>
    <w:rsid w:val="00325785"/>
    <w:rsid w:val="00327CDB"/>
    <w:rsid w:val="003322E5"/>
    <w:rsid w:val="00350540"/>
    <w:rsid w:val="00351423"/>
    <w:rsid w:val="00361809"/>
    <w:rsid w:val="00365A7E"/>
    <w:rsid w:val="0037758B"/>
    <w:rsid w:val="00382664"/>
    <w:rsid w:val="00392729"/>
    <w:rsid w:val="003A1821"/>
    <w:rsid w:val="003B01D9"/>
    <w:rsid w:val="003B2118"/>
    <w:rsid w:val="003B660D"/>
    <w:rsid w:val="003B753D"/>
    <w:rsid w:val="003C3504"/>
    <w:rsid w:val="003D21AB"/>
    <w:rsid w:val="003D3367"/>
    <w:rsid w:val="003D34F1"/>
    <w:rsid w:val="003E0DC9"/>
    <w:rsid w:val="003F3707"/>
    <w:rsid w:val="003F3C3F"/>
    <w:rsid w:val="003F5BE7"/>
    <w:rsid w:val="004065E8"/>
    <w:rsid w:val="00411679"/>
    <w:rsid w:val="0041405E"/>
    <w:rsid w:val="00416147"/>
    <w:rsid w:val="0042011A"/>
    <w:rsid w:val="00423A2E"/>
    <w:rsid w:val="004275E3"/>
    <w:rsid w:val="004349F3"/>
    <w:rsid w:val="0043686B"/>
    <w:rsid w:val="004377D1"/>
    <w:rsid w:val="00442AD1"/>
    <w:rsid w:val="004457AB"/>
    <w:rsid w:val="00452FB2"/>
    <w:rsid w:val="00455576"/>
    <w:rsid w:val="004569F2"/>
    <w:rsid w:val="00466D55"/>
    <w:rsid w:val="00471685"/>
    <w:rsid w:val="00473FD3"/>
    <w:rsid w:val="00474639"/>
    <w:rsid w:val="00485DD6"/>
    <w:rsid w:val="00490365"/>
    <w:rsid w:val="004910C7"/>
    <w:rsid w:val="004931DC"/>
    <w:rsid w:val="00495ABA"/>
    <w:rsid w:val="00495EEC"/>
    <w:rsid w:val="004A0063"/>
    <w:rsid w:val="004A4B57"/>
    <w:rsid w:val="004A5816"/>
    <w:rsid w:val="004A79EF"/>
    <w:rsid w:val="004B2635"/>
    <w:rsid w:val="004C79C7"/>
    <w:rsid w:val="004D2D15"/>
    <w:rsid w:val="004D6FE5"/>
    <w:rsid w:val="004E08BB"/>
    <w:rsid w:val="004E5644"/>
    <w:rsid w:val="004E77AC"/>
    <w:rsid w:val="004F0243"/>
    <w:rsid w:val="004F0F64"/>
    <w:rsid w:val="004F2F58"/>
    <w:rsid w:val="004F7A38"/>
    <w:rsid w:val="005005D7"/>
    <w:rsid w:val="00504F89"/>
    <w:rsid w:val="005100D8"/>
    <w:rsid w:val="005213AA"/>
    <w:rsid w:val="00524E9B"/>
    <w:rsid w:val="00524F0A"/>
    <w:rsid w:val="0052642F"/>
    <w:rsid w:val="0053259A"/>
    <w:rsid w:val="00541A4B"/>
    <w:rsid w:val="00543042"/>
    <w:rsid w:val="005458CF"/>
    <w:rsid w:val="005534F5"/>
    <w:rsid w:val="005609BD"/>
    <w:rsid w:val="00563C06"/>
    <w:rsid w:val="0057214C"/>
    <w:rsid w:val="00575F8E"/>
    <w:rsid w:val="00577724"/>
    <w:rsid w:val="005907F3"/>
    <w:rsid w:val="00594A76"/>
    <w:rsid w:val="00594EA2"/>
    <w:rsid w:val="00594EF3"/>
    <w:rsid w:val="005A4B95"/>
    <w:rsid w:val="005A7F2B"/>
    <w:rsid w:val="005B15A1"/>
    <w:rsid w:val="005C4948"/>
    <w:rsid w:val="005C7C1C"/>
    <w:rsid w:val="005D525E"/>
    <w:rsid w:val="005D6C31"/>
    <w:rsid w:val="005D7974"/>
    <w:rsid w:val="005E1433"/>
    <w:rsid w:val="005E4AAB"/>
    <w:rsid w:val="005E4C0D"/>
    <w:rsid w:val="005F0F4E"/>
    <w:rsid w:val="005F7CD8"/>
    <w:rsid w:val="00604439"/>
    <w:rsid w:val="0060706E"/>
    <w:rsid w:val="0061093F"/>
    <w:rsid w:val="00611B9C"/>
    <w:rsid w:val="0061427F"/>
    <w:rsid w:val="00617AC3"/>
    <w:rsid w:val="00617B04"/>
    <w:rsid w:val="00617EA6"/>
    <w:rsid w:val="006237BB"/>
    <w:rsid w:val="00625A02"/>
    <w:rsid w:val="0063013B"/>
    <w:rsid w:val="0063296F"/>
    <w:rsid w:val="00633308"/>
    <w:rsid w:val="0063666E"/>
    <w:rsid w:val="00640AE7"/>
    <w:rsid w:val="00640D4C"/>
    <w:rsid w:val="00641A4B"/>
    <w:rsid w:val="00641D06"/>
    <w:rsid w:val="00643E1B"/>
    <w:rsid w:val="006444E2"/>
    <w:rsid w:val="00650D97"/>
    <w:rsid w:val="00651ACC"/>
    <w:rsid w:val="00653D19"/>
    <w:rsid w:val="00660252"/>
    <w:rsid w:val="0066536E"/>
    <w:rsid w:val="00666A4F"/>
    <w:rsid w:val="00670A93"/>
    <w:rsid w:val="00671096"/>
    <w:rsid w:val="006710AC"/>
    <w:rsid w:val="00687C92"/>
    <w:rsid w:val="006926FF"/>
    <w:rsid w:val="00694B78"/>
    <w:rsid w:val="006A0A4C"/>
    <w:rsid w:val="006A2145"/>
    <w:rsid w:val="006C3292"/>
    <w:rsid w:val="006D1178"/>
    <w:rsid w:val="006E2656"/>
    <w:rsid w:val="006E3966"/>
    <w:rsid w:val="006F0F2F"/>
    <w:rsid w:val="006F7C93"/>
    <w:rsid w:val="00704C6F"/>
    <w:rsid w:val="0070510B"/>
    <w:rsid w:val="0070690C"/>
    <w:rsid w:val="007110D5"/>
    <w:rsid w:val="007147DB"/>
    <w:rsid w:val="0071627F"/>
    <w:rsid w:val="00717AC6"/>
    <w:rsid w:val="007241EA"/>
    <w:rsid w:val="00731C12"/>
    <w:rsid w:val="00732425"/>
    <w:rsid w:val="00735C45"/>
    <w:rsid w:val="00735C66"/>
    <w:rsid w:val="00751846"/>
    <w:rsid w:val="0076414A"/>
    <w:rsid w:val="0076724A"/>
    <w:rsid w:val="007672EE"/>
    <w:rsid w:val="007700D4"/>
    <w:rsid w:val="00774818"/>
    <w:rsid w:val="00775F80"/>
    <w:rsid w:val="007832D5"/>
    <w:rsid w:val="0078681F"/>
    <w:rsid w:val="007958CE"/>
    <w:rsid w:val="00797380"/>
    <w:rsid w:val="007A04BE"/>
    <w:rsid w:val="007A1CD0"/>
    <w:rsid w:val="007A4875"/>
    <w:rsid w:val="007B2F96"/>
    <w:rsid w:val="007B5380"/>
    <w:rsid w:val="007B55FA"/>
    <w:rsid w:val="007C723D"/>
    <w:rsid w:val="007D4B54"/>
    <w:rsid w:val="007E0D2B"/>
    <w:rsid w:val="007E5896"/>
    <w:rsid w:val="007F1FD8"/>
    <w:rsid w:val="00805751"/>
    <w:rsid w:val="00806699"/>
    <w:rsid w:val="008112E8"/>
    <w:rsid w:val="0081591D"/>
    <w:rsid w:val="00816B58"/>
    <w:rsid w:val="008206AF"/>
    <w:rsid w:val="00845CB7"/>
    <w:rsid w:val="00853957"/>
    <w:rsid w:val="00856214"/>
    <w:rsid w:val="00861229"/>
    <w:rsid w:val="00861232"/>
    <w:rsid w:val="008615DA"/>
    <w:rsid w:val="00861BE8"/>
    <w:rsid w:val="008822E3"/>
    <w:rsid w:val="00884C54"/>
    <w:rsid w:val="00893553"/>
    <w:rsid w:val="00896E6F"/>
    <w:rsid w:val="008A4023"/>
    <w:rsid w:val="008B36DF"/>
    <w:rsid w:val="008B4EA7"/>
    <w:rsid w:val="008C2AE7"/>
    <w:rsid w:val="008D29B2"/>
    <w:rsid w:val="008E6401"/>
    <w:rsid w:val="008F168A"/>
    <w:rsid w:val="00905FA1"/>
    <w:rsid w:val="009120D7"/>
    <w:rsid w:val="009137B1"/>
    <w:rsid w:val="009148C1"/>
    <w:rsid w:val="00917F5F"/>
    <w:rsid w:val="00920845"/>
    <w:rsid w:val="009302B9"/>
    <w:rsid w:val="0093286F"/>
    <w:rsid w:val="0094680A"/>
    <w:rsid w:val="00966BB1"/>
    <w:rsid w:val="00973DD0"/>
    <w:rsid w:val="00973E5E"/>
    <w:rsid w:val="00982BEB"/>
    <w:rsid w:val="00982CBB"/>
    <w:rsid w:val="00985330"/>
    <w:rsid w:val="009930D6"/>
    <w:rsid w:val="00993169"/>
    <w:rsid w:val="009A727B"/>
    <w:rsid w:val="009A73E9"/>
    <w:rsid w:val="009B4E05"/>
    <w:rsid w:val="009B66A2"/>
    <w:rsid w:val="009C0172"/>
    <w:rsid w:val="009C6ED6"/>
    <w:rsid w:val="009C7667"/>
    <w:rsid w:val="009D3DA6"/>
    <w:rsid w:val="009D4643"/>
    <w:rsid w:val="009E4679"/>
    <w:rsid w:val="009E7014"/>
    <w:rsid w:val="009F42CE"/>
    <w:rsid w:val="009F5700"/>
    <w:rsid w:val="00A05B6E"/>
    <w:rsid w:val="00A063BE"/>
    <w:rsid w:val="00A07A86"/>
    <w:rsid w:val="00A10412"/>
    <w:rsid w:val="00A11897"/>
    <w:rsid w:val="00A13188"/>
    <w:rsid w:val="00A16694"/>
    <w:rsid w:val="00A171B7"/>
    <w:rsid w:val="00A206E2"/>
    <w:rsid w:val="00A21FEC"/>
    <w:rsid w:val="00A226D5"/>
    <w:rsid w:val="00A314CC"/>
    <w:rsid w:val="00A364B9"/>
    <w:rsid w:val="00A37DA4"/>
    <w:rsid w:val="00A37F28"/>
    <w:rsid w:val="00A56583"/>
    <w:rsid w:val="00A625F2"/>
    <w:rsid w:val="00A628D8"/>
    <w:rsid w:val="00A667EE"/>
    <w:rsid w:val="00A71CFE"/>
    <w:rsid w:val="00A77842"/>
    <w:rsid w:val="00A8078C"/>
    <w:rsid w:val="00A80821"/>
    <w:rsid w:val="00A8496E"/>
    <w:rsid w:val="00A85A70"/>
    <w:rsid w:val="00A87A3D"/>
    <w:rsid w:val="00A90CCA"/>
    <w:rsid w:val="00A912D9"/>
    <w:rsid w:val="00A96A54"/>
    <w:rsid w:val="00A9700F"/>
    <w:rsid w:val="00A9738F"/>
    <w:rsid w:val="00AA0DC9"/>
    <w:rsid w:val="00AA3E09"/>
    <w:rsid w:val="00AA4617"/>
    <w:rsid w:val="00AA53AB"/>
    <w:rsid w:val="00AB4FE3"/>
    <w:rsid w:val="00AB5DF7"/>
    <w:rsid w:val="00AC2479"/>
    <w:rsid w:val="00AC4FA8"/>
    <w:rsid w:val="00AC78B0"/>
    <w:rsid w:val="00AD0FC5"/>
    <w:rsid w:val="00AD1CB2"/>
    <w:rsid w:val="00AD3B7D"/>
    <w:rsid w:val="00AD460F"/>
    <w:rsid w:val="00AD786F"/>
    <w:rsid w:val="00AE2877"/>
    <w:rsid w:val="00AE46B1"/>
    <w:rsid w:val="00AE515F"/>
    <w:rsid w:val="00AE6F77"/>
    <w:rsid w:val="00AE76F0"/>
    <w:rsid w:val="00AE79F4"/>
    <w:rsid w:val="00AE7C1E"/>
    <w:rsid w:val="00B0241C"/>
    <w:rsid w:val="00B06DBD"/>
    <w:rsid w:val="00B07DD5"/>
    <w:rsid w:val="00B12C8D"/>
    <w:rsid w:val="00B1740E"/>
    <w:rsid w:val="00B20F07"/>
    <w:rsid w:val="00B36D1F"/>
    <w:rsid w:val="00B409DA"/>
    <w:rsid w:val="00B42C8F"/>
    <w:rsid w:val="00B441FE"/>
    <w:rsid w:val="00B50570"/>
    <w:rsid w:val="00B57EB0"/>
    <w:rsid w:val="00B66E93"/>
    <w:rsid w:val="00B72389"/>
    <w:rsid w:val="00B75E31"/>
    <w:rsid w:val="00B821D9"/>
    <w:rsid w:val="00B83D13"/>
    <w:rsid w:val="00B90461"/>
    <w:rsid w:val="00B92A37"/>
    <w:rsid w:val="00B94E9F"/>
    <w:rsid w:val="00BA2A69"/>
    <w:rsid w:val="00BA5611"/>
    <w:rsid w:val="00BA6FD9"/>
    <w:rsid w:val="00BB5C37"/>
    <w:rsid w:val="00BB6FD8"/>
    <w:rsid w:val="00BC7781"/>
    <w:rsid w:val="00BD30BB"/>
    <w:rsid w:val="00BD7397"/>
    <w:rsid w:val="00BE0E9A"/>
    <w:rsid w:val="00BF05FF"/>
    <w:rsid w:val="00BF1ED3"/>
    <w:rsid w:val="00BF20AE"/>
    <w:rsid w:val="00BF5CDF"/>
    <w:rsid w:val="00C00643"/>
    <w:rsid w:val="00C0141A"/>
    <w:rsid w:val="00C072BE"/>
    <w:rsid w:val="00C10D29"/>
    <w:rsid w:val="00C10DF7"/>
    <w:rsid w:val="00C14C11"/>
    <w:rsid w:val="00C156C2"/>
    <w:rsid w:val="00C21707"/>
    <w:rsid w:val="00C2350D"/>
    <w:rsid w:val="00C3131E"/>
    <w:rsid w:val="00C31AD4"/>
    <w:rsid w:val="00C3478C"/>
    <w:rsid w:val="00C40583"/>
    <w:rsid w:val="00C4080B"/>
    <w:rsid w:val="00C46012"/>
    <w:rsid w:val="00C47C82"/>
    <w:rsid w:val="00C51903"/>
    <w:rsid w:val="00C51E18"/>
    <w:rsid w:val="00C60E3D"/>
    <w:rsid w:val="00C66D52"/>
    <w:rsid w:val="00C67E41"/>
    <w:rsid w:val="00C7399B"/>
    <w:rsid w:val="00C74828"/>
    <w:rsid w:val="00C800E6"/>
    <w:rsid w:val="00C80842"/>
    <w:rsid w:val="00C862AB"/>
    <w:rsid w:val="00C960EE"/>
    <w:rsid w:val="00C97E10"/>
    <w:rsid w:val="00CA1E0E"/>
    <w:rsid w:val="00CA476D"/>
    <w:rsid w:val="00CA4FDC"/>
    <w:rsid w:val="00CA77C3"/>
    <w:rsid w:val="00CB5FAF"/>
    <w:rsid w:val="00CD11CA"/>
    <w:rsid w:val="00CD1C6A"/>
    <w:rsid w:val="00CD2C43"/>
    <w:rsid w:val="00D11C15"/>
    <w:rsid w:val="00D11CEF"/>
    <w:rsid w:val="00D149CA"/>
    <w:rsid w:val="00D2078A"/>
    <w:rsid w:val="00D2316A"/>
    <w:rsid w:val="00D30EE4"/>
    <w:rsid w:val="00D32BB7"/>
    <w:rsid w:val="00D356FF"/>
    <w:rsid w:val="00D37AC2"/>
    <w:rsid w:val="00D45B0D"/>
    <w:rsid w:val="00D466E8"/>
    <w:rsid w:val="00D476A0"/>
    <w:rsid w:val="00D50851"/>
    <w:rsid w:val="00D51ABF"/>
    <w:rsid w:val="00D71754"/>
    <w:rsid w:val="00D75264"/>
    <w:rsid w:val="00D75AA1"/>
    <w:rsid w:val="00D75FC2"/>
    <w:rsid w:val="00D77929"/>
    <w:rsid w:val="00D872E0"/>
    <w:rsid w:val="00D92060"/>
    <w:rsid w:val="00DB10A9"/>
    <w:rsid w:val="00DB7636"/>
    <w:rsid w:val="00DC0ACF"/>
    <w:rsid w:val="00DC648A"/>
    <w:rsid w:val="00DC7FAF"/>
    <w:rsid w:val="00DD44DF"/>
    <w:rsid w:val="00DE406B"/>
    <w:rsid w:val="00DE5531"/>
    <w:rsid w:val="00DF5AE2"/>
    <w:rsid w:val="00E020AD"/>
    <w:rsid w:val="00E14A1E"/>
    <w:rsid w:val="00E1506A"/>
    <w:rsid w:val="00E15957"/>
    <w:rsid w:val="00E20D35"/>
    <w:rsid w:val="00E329B4"/>
    <w:rsid w:val="00E4112D"/>
    <w:rsid w:val="00E43BCB"/>
    <w:rsid w:val="00E44142"/>
    <w:rsid w:val="00E5591D"/>
    <w:rsid w:val="00E57299"/>
    <w:rsid w:val="00E613DF"/>
    <w:rsid w:val="00E70AEA"/>
    <w:rsid w:val="00E71A27"/>
    <w:rsid w:val="00E731FB"/>
    <w:rsid w:val="00E7453A"/>
    <w:rsid w:val="00E7487B"/>
    <w:rsid w:val="00E9078F"/>
    <w:rsid w:val="00E97A50"/>
    <w:rsid w:val="00EA0E8A"/>
    <w:rsid w:val="00EA5200"/>
    <w:rsid w:val="00EA5CD7"/>
    <w:rsid w:val="00EB2914"/>
    <w:rsid w:val="00EB5AE0"/>
    <w:rsid w:val="00EC0FD0"/>
    <w:rsid w:val="00ED095A"/>
    <w:rsid w:val="00ED400F"/>
    <w:rsid w:val="00ED4283"/>
    <w:rsid w:val="00ED6869"/>
    <w:rsid w:val="00EE649F"/>
    <w:rsid w:val="00EF3FB8"/>
    <w:rsid w:val="00F00727"/>
    <w:rsid w:val="00F008A9"/>
    <w:rsid w:val="00F151DF"/>
    <w:rsid w:val="00F155C6"/>
    <w:rsid w:val="00F169D4"/>
    <w:rsid w:val="00F170C7"/>
    <w:rsid w:val="00F34B32"/>
    <w:rsid w:val="00F4025C"/>
    <w:rsid w:val="00F435C3"/>
    <w:rsid w:val="00F44E5A"/>
    <w:rsid w:val="00F47220"/>
    <w:rsid w:val="00F529A4"/>
    <w:rsid w:val="00F543DC"/>
    <w:rsid w:val="00F61346"/>
    <w:rsid w:val="00F63102"/>
    <w:rsid w:val="00F6694E"/>
    <w:rsid w:val="00F7585F"/>
    <w:rsid w:val="00F76441"/>
    <w:rsid w:val="00F80CD3"/>
    <w:rsid w:val="00F83423"/>
    <w:rsid w:val="00F97FC1"/>
    <w:rsid w:val="00FA0FAA"/>
    <w:rsid w:val="00FA4DE7"/>
    <w:rsid w:val="00FA7E82"/>
    <w:rsid w:val="00FB066F"/>
    <w:rsid w:val="00FC0EE1"/>
    <w:rsid w:val="00FC7825"/>
    <w:rsid w:val="00FD0EF0"/>
    <w:rsid w:val="00FD159E"/>
    <w:rsid w:val="00FD2B44"/>
    <w:rsid w:val="00FE0D52"/>
    <w:rsid w:val="00FF1C86"/>
    <w:rsid w:val="00FF35DC"/>
    <w:rsid w:val="00FF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56"/>
    <o:shapelayout v:ext="edit">
      <o:idmap v:ext="edit" data="1"/>
    </o:shapelayout>
  </w:shapeDefaults>
  <w:decimalSymbol w:val=","/>
  <w:listSeparator w:val=";"/>
  <w15:chartTrackingRefBased/>
  <w15:docId w15:val="{B8F3787D-2485-4C8D-801B-36EEF01DD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FC5"/>
    <w:pPr>
      <w:keepLines/>
      <w:suppressAutoHyphens/>
      <w:ind w:firstLine="567"/>
      <w:jc w:val="both"/>
    </w:pPr>
    <w:rPr>
      <w:rFonts w:ascii="Garamond" w:eastAsia="Times New Roman" w:hAnsi="Garamond"/>
      <w:sz w:val="24"/>
      <w:lang w:eastAsia="ar-SA"/>
    </w:rPr>
  </w:style>
  <w:style w:type="paragraph" w:styleId="Titre3">
    <w:name w:val="heading 3"/>
    <w:basedOn w:val="Normal"/>
    <w:next w:val="Normal"/>
    <w:qFormat/>
    <w:rsid w:val="00AD0FC5"/>
    <w:pPr>
      <w:keepNext/>
      <w:spacing w:before="180" w:after="60"/>
      <w:ind w:firstLine="0"/>
      <w:outlineLvl w:val="2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page">
    <w:name w:val="page number"/>
    <w:rsid w:val="00AD0FC5"/>
    <w:rPr>
      <w:rFonts w:ascii="Garamond" w:hAnsi="Garamond"/>
      <w:sz w:val="24"/>
    </w:rPr>
  </w:style>
  <w:style w:type="paragraph" w:styleId="En-tte">
    <w:name w:val="header"/>
    <w:basedOn w:val="Normal"/>
    <w:rsid w:val="00AD0FC5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AD0FC5"/>
    <w:pPr>
      <w:ind w:firstLine="0"/>
      <w:jc w:val="center"/>
    </w:pPr>
    <w:rPr>
      <w:sz w:val="16"/>
      <w:szCs w:val="16"/>
    </w:rPr>
  </w:style>
  <w:style w:type="paragraph" w:customStyle="1" w:styleId="Ref1">
    <w:name w:val="Ref1"/>
    <w:basedOn w:val="Normal"/>
    <w:rsid w:val="00AD0FC5"/>
    <w:pPr>
      <w:tabs>
        <w:tab w:val="left" w:pos="851"/>
        <w:tab w:val="left" w:pos="1276"/>
      </w:tabs>
      <w:ind w:firstLine="0"/>
    </w:pPr>
    <w:rPr>
      <w:b/>
      <w:bCs/>
    </w:rPr>
  </w:style>
  <w:style w:type="paragraph" w:styleId="Sous-titre">
    <w:name w:val="Subtitle"/>
    <w:basedOn w:val="Normal"/>
    <w:next w:val="Normal"/>
    <w:qFormat/>
    <w:rsid w:val="00AD0FC5"/>
    <w:pPr>
      <w:spacing w:after="60"/>
      <w:ind w:firstLine="0"/>
      <w:jc w:val="center"/>
    </w:pPr>
    <w:rPr>
      <w:b/>
      <w:bCs/>
      <w:sz w:val="32"/>
      <w:u w:val="single"/>
    </w:rPr>
  </w:style>
  <w:style w:type="paragraph" w:customStyle="1" w:styleId="Tableau1">
    <w:name w:val="Tableau 1"/>
    <w:basedOn w:val="Normal"/>
    <w:rsid w:val="00AD0FC5"/>
    <w:pPr>
      <w:ind w:firstLine="0"/>
      <w:jc w:val="center"/>
    </w:pPr>
    <w:rPr>
      <w:b/>
      <w:sz w:val="22"/>
    </w:rPr>
  </w:style>
  <w:style w:type="paragraph" w:styleId="Textedebulles">
    <w:name w:val="Balloon Text"/>
    <w:basedOn w:val="Normal"/>
    <w:semiHidden/>
    <w:rsid w:val="00025A0D"/>
    <w:rPr>
      <w:rFonts w:ascii="Tahoma" w:hAnsi="Tahoma" w:cs="Tahoma"/>
      <w:sz w:val="16"/>
      <w:szCs w:val="16"/>
    </w:rPr>
  </w:style>
  <w:style w:type="character" w:styleId="Marquedecommentaire">
    <w:name w:val="annotation reference"/>
    <w:semiHidden/>
    <w:rsid w:val="00A07A86"/>
    <w:rPr>
      <w:sz w:val="16"/>
      <w:szCs w:val="16"/>
    </w:rPr>
  </w:style>
  <w:style w:type="paragraph" w:styleId="Commentaire">
    <w:name w:val="annotation text"/>
    <w:basedOn w:val="Normal"/>
    <w:semiHidden/>
    <w:rsid w:val="00A07A86"/>
    <w:rPr>
      <w:sz w:val="20"/>
    </w:rPr>
  </w:style>
  <w:style w:type="paragraph" w:styleId="Objetducommentaire">
    <w:name w:val="annotation subject"/>
    <w:basedOn w:val="Commentaire"/>
    <w:next w:val="Commentaire"/>
    <w:semiHidden/>
    <w:rsid w:val="00A07A86"/>
    <w:rPr>
      <w:b/>
      <w:bCs/>
    </w:rPr>
  </w:style>
  <w:style w:type="paragraph" w:customStyle="1" w:styleId="11">
    <w:name w:val="11"/>
    <w:basedOn w:val="Normal"/>
    <w:rsid w:val="00485DD6"/>
    <w:pPr>
      <w:tabs>
        <w:tab w:val="left" w:pos="-720"/>
        <w:tab w:val="left" w:pos="-142"/>
        <w:tab w:val="left" w:pos="566"/>
        <w:tab w:val="left" w:pos="1132"/>
        <w:tab w:val="left" w:pos="1700"/>
        <w:tab w:val="left" w:pos="2266"/>
        <w:tab w:val="left" w:pos="2834"/>
        <w:tab w:val="left" w:pos="3400"/>
        <w:tab w:val="left" w:pos="3967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uppressAutoHyphens w:val="0"/>
      <w:ind w:firstLine="709"/>
    </w:pPr>
    <w:rPr>
      <w:sz w:val="19"/>
      <w:lang w:eastAsia="fr-FR"/>
    </w:rPr>
  </w:style>
  <w:style w:type="character" w:styleId="Accentuation">
    <w:name w:val="Emphasis"/>
    <w:qFormat/>
    <w:rsid w:val="005D525E"/>
    <w:rPr>
      <w:i/>
      <w:iCs/>
    </w:rPr>
  </w:style>
  <w:style w:type="paragraph" w:customStyle="1" w:styleId="Listepuces1">
    <w:name w:val="Liste à puces 1"/>
    <w:basedOn w:val="Normal"/>
    <w:rsid w:val="00BA6FD9"/>
    <w:pPr>
      <w:numPr>
        <w:numId w:val="5"/>
      </w:numPr>
      <w:tabs>
        <w:tab w:val="left" w:pos="1701"/>
      </w:tabs>
      <w:suppressAutoHyphens w:val="0"/>
    </w:pPr>
    <w:rPr>
      <w:lang w:eastAsia="fr-FR"/>
    </w:rPr>
  </w:style>
  <w:style w:type="paragraph" w:customStyle="1" w:styleId="Default">
    <w:name w:val="Default"/>
    <w:rsid w:val="00A16694"/>
    <w:pPr>
      <w:autoSpaceDE w:val="0"/>
      <w:autoSpaceDN w:val="0"/>
      <w:adjustRightInd w:val="0"/>
    </w:pPr>
    <w:rPr>
      <w:rFonts w:ascii="Garamond" w:eastAsia="Times New Roman" w:hAnsi="Garamond" w:cs="Garamond"/>
      <w:color w:val="000000"/>
      <w:sz w:val="24"/>
      <w:szCs w:val="24"/>
    </w:rPr>
  </w:style>
  <w:style w:type="character" w:styleId="Appelnotedebasdep">
    <w:name w:val="footnote reference"/>
    <w:semiHidden/>
    <w:rsid w:val="00CD11CA"/>
    <w:rPr>
      <w:rFonts w:ascii="Garamond" w:hAnsi="Garamond"/>
      <w:vertAlign w:val="superscript"/>
    </w:rPr>
  </w:style>
  <w:style w:type="paragraph" w:styleId="Notedebasdepage">
    <w:name w:val="footnote text"/>
    <w:basedOn w:val="Normal"/>
    <w:semiHidden/>
    <w:rsid w:val="00CD11CA"/>
    <w:pPr>
      <w:suppressAutoHyphens w:val="0"/>
      <w:ind w:firstLine="454"/>
    </w:pPr>
    <w:rPr>
      <w:sz w:val="20"/>
      <w:lang w:eastAsia="fr-FR"/>
    </w:rPr>
  </w:style>
  <w:style w:type="table" w:styleId="Grilledutableau">
    <w:name w:val="Table Grid"/>
    <w:basedOn w:val="TableauNormal"/>
    <w:rsid w:val="00CD11CA"/>
    <w:pPr>
      <w:keepLines/>
      <w:ind w:firstLine="454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9B66A2"/>
  </w:style>
  <w:style w:type="character" w:styleId="lev">
    <w:name w:val="Strong"/>
    <w:qFormat/>
    <w:rsid w:val="00C3131E"/>
    <w:rPr>
      <w:b/>
      <w:bCs/>
    </w:rPr>
  </w:style>
  <w:style w:type="character" w:customStyle="1" w:styleId="PieddepageCar">
    <w:name w:val="Pied de page Car"/>
    <w:link w:val="Pieddepage"/>
    <w:uiPriority w:val="99"/>
    <w:rsid w:val="0070690C"/>
    <w:rPr>
      <w:rFonts w:ascii="Garamond" w:eastAsia="Times New Roman" w:hAnsi="Garamond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1002</Words>
  <Characters>5258</Characters>
  <Application>Microsoft Office Word</Application>
  <DocSecurity>4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ASN</Company>
  <LinksUpToDate>false</LinksUpToDate>
  <CharactersWithSpaces>6248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BIGOU Christophe</dc:creator>
  <cp:keywords/>
  <dc:description/>
  <cp:lastModifiedBy>ROBIN Max</cp:lastModifiedBy>
  <cp:revision>2</cp:revision>
  <cp:lastPrinted>2016-11-03T16:15:00Z</cp:lastPrinted>
  <dcterms:created xsi:type="dcterms:W3CDTF">2016-11-10T11:38:00Z</dcterms:created>
  <dcterms:modified xsi:type="dcterms:W3CDTF">2016-11-10T11:38:00Z</dcterms:modified>
</cp:coreProperties>
</file>